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46" w:rsidRPr="005C177F" w:rsidRDefault="009A7846" w:rsidP="00A52C02">
      <w:pPr>
        <w:rPr>
          <w:rFonts w:ascii="Verdana" w:hAnsi="Verdana"/>
          <w:sz w:val="18"/>
          <w:szCs w:val="18"/>
        </w:rPr>
      </w:pPr>
      <w:bookmarkStart w:id="0" w:name="_GoBack"/>
      <w:bookmarkEnd w:id="0"/>
    </w:p>
    <w:p w:rsidR="009A7846" w:rsidRPr="009A3A93" w:rsidRDefault="009A7846" w:rsidP="009A3A93">
      <w:pPr>
        <w:rPr>
          <w:rFonts w:ascii="Arial" w:hAnsi="Arial" w:cs="Arial"/>
          <w:b/>
          <w:sz w:val="20"/>
          <w:szCs w:val="20"/>
        </w:rPr>
      </w:pPr>
      <w:r w:rsidRPr="009A3A93">
        <w:rPr>
          <w:rFonts w:ascii="Arial" w:hAnsi="Arial" w:cs="Arial"/>
          <w:b/>
          <w:sz w:val="20"/>
          <w:szCs w:val="20"/>
        </w:rPr>
        <w:t xml:space="preserve">Toelichting op de </w:t>
      </w:r>
      <w:r w:rsidR="009F7978" w:rsidRPr="009A3A93">
        <w:rPr>
          <w:rFonts w:ascii="Arial" w:hAnsi="Arial" w:cs="Arial"/>
          <w:b/>
          <w:sz w:val="20"/>
          <w:szCs w:val="20"/>
        </w:rPr>
        <w:t>“</w:t>
      </w:r>
      <w:r w:rsidRPr="009A3A93">
        <w:rPr>
          <w:rFonts w:ascii="Arial" w:hAnsi="Arial" w:cs="Arial"/>
          <w:b/>
          <w:sz w:val="20"/>
          <w:szCs w:val="20"/>
        </w:rPr>
        <w:t xml:space="preserve">Verordening </w:t>
      </w:r>
      <w:r w:rsidR="009F7978" w:rsidRPr="009A3A93">
        <w:rPr>
          <w:rFonts w:ascii="Arial" w:hAnsi="Arial" w:cs="Arial"/>
          <w:b/>
          <w:sz w:val="20"/>
          <w:szCs w:val="20"/>
        </w:rPr>
        <w:t>r</w:t>
      </w:r>
      <w:r w:rsidRPr="009A3A93">
        <w:rPr>
          <w:rFonts w:ascii="Arial" w:hAnsi="Arial" w:cs="Arial"/>
          <w:b/>
          <w:sz w:val="20"/>
          <w:szCs w:val="20"/>
        </w:rPr>
        <w:t xml:space="preserve">eclamebelasting </w:t>
      </w:r>
      <w:r w:rsidR="009F7978" w:rsidRPr="009A3A93">
        <w:rPr>
          <w:rFonts w:ascii="Arial" w:hAnsi="Arial" w:cs="Arial"/>
          <w:b/>
          <w:sz w:val="20"/>
          <w:szCs w:val="20"/>
        </w:rPr>
        <w:t xml:space="preserve">gemeente </w:t>
      </w:r>
      <w:r w:rsidRPr="009A3A93">
        <w:rPr>
          <w:rFonts w:ascii="Arial" w:hAnsi="Arial" w:cs="Arial"/>
          <w:b/>
          <w:sz w:val="20"/>
          <w:szCs w:val="20"/>
        </w:rPr>
        <w:t>Geldermalsen</w:t>
      </w:r>
      <w:r w:rsidR="009F7978" w:rsidRPr="009A3A93">
        <w:rPr>
          <w:rFonts w:ascii="Arial" w:hAnsi="Arial" w:cs="Arial"/>
          <w:b/>
          <w:sz w:val="20"/>
          <w:szCs w:val="20"/>
        </w:rPr>
        <w:t xml:space="preserve"> 2017”</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b/>
          <w:sz w:val="20"/>
          <w:szCs w:val="20"/>
        </w:rPr>
      </w:pPr>
      <w:r w:rsidRPr="009A3A93">
        <w:rPr>
          <w:rFonts w:ascii="Arial" w:hAnsi="Arial" w:cs="Arial"/>
          <w:b/>
          <w:sz w:val="20"/>
          <w:szCs w:val="20"/>
        </w:rPr>
        <w:t>Algemene toelichting</w:t>
      </w:r>
    </w:p>
    <w:p w:rsidR="009A7846" w:rsidRPr="009A3A93" w:rsidRDefault="009A7846" w:rsidP="009A3A93">
      <w:pPr>
        <w:rPr>
          <w:rFonts w:ascii="Arial" w:hAnsi="Arial" w:cs="Arial"/>
          <w:sz w:val="20"/>
          <w:szCs w:val="20"/>
        </w:rPr>
      </w:pPr>
    </w:p>
    <w:p w:rsidR="009A7846" w:rsidRPr="009A3A93" w:rsidRDefault="009A7846" w:rsidP="009A3A93">
      <w:pPr>
        <w:pStyle w:val="Default"/>
        <w:rPr>
          <w:rFonts w:ascii="Arial" w:hAnsi="Arial" w:cs="Arial"/>
          <w:color w:val="auto"/>
          <w:sz w:val="20"/>
          <w:szCs w:val="20"/>
        </w:rPr>
      </w:pPr>
      <w:r w:rsidRPr="009A3A93">
        <w:rPr>
          <w:rFonts w:ascii="Arial" w:hAnsi="Arial" w:cs="Arial"/>
          <w:color w:val="auto"/>
          <w:sz w:val="20"/>
          <w:szCs w:val="20"/>
        </w:rPr>
        <w:t xml:space="preserve">De uit de reclamebelasting verkregen opbrengst kan in beginsel vrij besteed worden. De reclame-belasting is –net als bijvoorbeeld de OZB en de hondenbelasting– een vrij besteedbare heffing. De opbrengst van de reclamebelasting wordt in Geldermalsen echter ingezet voor structurele financiering van het </w:t>
      </w:r>
      <w:r w:rsidR="009F7978" w:rsidRPr="009A3A93">
        <w:rPr>
          <w:rFonts w:ascii="Arial" w:hAnsi="Arial" w:cs="Arial"/>
          <w:color w:val="auto"/>
          <w:sz w:val="20"/>
          <w:szCs w:val="20"/>
        </w:rPr>
        <w:t>O</w:t>
      </w:r>
      <w:r w:rsidRPr="009A3A93">
        <w:rPr>
          <w:rFonts w:ascii="Arial" w:hAnsi="Arial" w:cs="Arial"/>
          <w:color w:val="auto"/>
          <w:sz w:val="20"/>
          <w:szCs w:val="20"/>
        </w:rPr>
        <w:t xml:space="preserve">ndernemersfonds </w:t>
      </w:r>
      <w:r w:rsidR="009F7978" w:rsidRPr="009A3A93">
        <w:rPr>
          <w:rFonts w:ascii="Arial" w:hAnsi="Arial" w:cs="Arial"/>
          <w:color w:val="auto"/>
          <w:sz w:val="20"/>
          <w:szCs w:val="20"/>
        </w:rPr>
        <w:t xml:space="preserve">Centrum </w:t>
      </w:r>
      <w:r w:rsidRPr="009A3A93">
        <w:rPr>
          <w:rFonts w:ascii="Arial" w:hAnsi="Arial" w:cs="Arial"/>
          <w:color w:val="auto"/>
          <w:sz w:val="20"/>
          <w:szCs w:val="20"/>
        </w:rPr>
        <w:t xml:space="preserve">Geldermalsen. Uit het ondernemersfonds worden de kosten betaald van diverse evenementen en activiteiten die in het centrum van Geldermalsen zullen gaan plaatsvinden. </w:t>
      </w:r>
    </w:p>
    <w:p w:rsidR="009A7846" w:rsidRPr="009A3A93" w:rsidRDefault="009A7846" w:rsidP="009A3A93">
      <w:pPr>
        <w:pStyle w:val="Default"/>
        <w:rPr>
          <w:rFonts w:ascii="Arial" w:hAnsi="Arial" w:cs="Arial"/>
          <w:color w:val="auto"/>
          <w:sz w:val="20"/>
          <w:szCs w:val="20"/>
        </w:rPr>
      </w:pPr>
    </w:p>
    <w:p w:rsidR="009A7846" w:rsidRPr="009A3A93" w:rsidRDefault="009F7978" w:rsidP="009A3A93">
      <w:pPr>
        <w:pStyle w:val="Default"/>
        <w:rPr>
          <w:rFonts w:ascii="Arial" w:hAnsi="Arial" w:cs="Arial"/>
          <w:color w:val="auto"/>
          <w:sz w:val="20"/>
          <w:szCs w:val="20"/>
        </w:rPr>
      </w:pPr>
      <w:r w:rsidRPr="009A3A93">
        <w:rPr>
          <w:rFonts w:ascii="Arial" w:hAnsi="Arial" w:cs="Arial"/>
          <w:color w:val="auto"/>
          <w:sz w:val="20"/>
          <w:szCs w:val="20"/>
        </w:rPr>
        <w:t>Opgemerkt wordt</w:t>
      </w:r>
      <w:r w:rsidR="009A7846" w:rsidRPr="009A3A93">
        <w:rPr>
          <w:rFonts w:ascii="Arial" w:hAnsi="Arial" w:cs="Arial"/>
          <w:color w:val="auto"/>
          <w:sz w:val="20"/>
          <w:szCs w:val="20"/>
        </w:rPr>
        <w:t xml:space="preserve"> dat de investeringen en activiteiten die bekostigd worden met de reclamebelasting uitdrukkelijk niet behoren tot de reguliere publieke taak van de gemeente. Het gaat hier om extra inzet van de gemeente, boven de reguliere uitgaven en investeringen. </w:t>
      </w:r>
    </w:p>
    <w:p w:rsidR="009A7846" w:rsidRPr="009A3A93" w:rsidRDefault="009A7846" w:rsidP="009A3A93">
      <w:pPr>
        <w:pStyle w:val="Default"/>
        <w:rPr>
          <w:rFonts w:ascii="Arial" w:hAnsi="Arial" w:cs="Arial"/>
          <w:color w:val="auto"/>
          <w:sz w:val="20"/>
          <w:szCs w:val="20"/>
        </w:rPr>
      </w:pPr>
    </w:p>
    <w:p w:rsidR="009A7846" w:rsidRPr="009A3A93" w:rsidRDefault="009A7846" w:rsidP="009A3A93">
      <w:pPr>
        <w:pStyle w:val="Default"/>
        <w:rPr>
          <w:rFonts w:ascii="Arial" w:hAnsi="Arial" w:cs="Arial"/>
          <w:color w:val="auto"/>
          <w:sz w:val="20"/>
          <w:szCs w:val="20"/>
        </w:rPr>
      </w:pPr>
      <w:r w:rsidRPr="009A3A93">
        <w:rPr>
          <w:rFonts w:ascii="Arial" w:hAnsi="Arial" w:cs="Arial"/>
          <w:color w:val="auto"/>
          <w:sz w:val="20"/>
          <w:szCs w:val="20"/>
        </w:rPr>
        <w:t xml:space="preserve">Omdat de reclamebelasting is gekoppeld aan het ondernemersfonds dat zich uitsluitend richt op het aangewezen winkelgebied en omgeving, is er een rechtvaardigingsgrond voor het beperkte gebied waarbinnen de reclamebelasting wordt geheven. De exacte afbakening van het aangewezen gebied is aangegeven op de bij de verordening behorende (digitale) kaart. Er bestaat bij een dergelijke objectieve geografische afbakening geen strijd met het gelijkheidsbeginsel.  </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r w:rsidRPr="009A3A93">
        <w:rPr>
          <w:rFonts w:ascii="Arial" w:hAnsi="Arial" w:cs="Arial"/>
          <w:sz w:val="20"/>
          <w:szCs w:val="20"/>
        </w:rPr>
        <w:t>Er is gestreefd naar een eenvoudige en efficiënte heffing. Om dit te bereiken zijn de volgende maatregelen in de verordening opgenomen:</w:t>
      </w:r>
      <w:r w:rsidR="009A3A93">
        <w:rPr>
          <w:rFonts w:ascii="Arial" w:hAnsi="Arial" w:cs="Arial"/>
          <w:sz w:val="20"/>
          <w:szCs w:val="20"/>
        </w:rPr>
        <w:br/>
        <w:t>1.</w:t>
      </w:r>
      <w:r w:rsidR="009A3A93">
        <w:rPr>
          <w:rFonts w:ascii="Arial" w:hAnsi="Arial" w:cs="Arial"/>
          <w:sz w:val="20"/>
          <w:szCs w:val="20"/>
        </w:rPr>
        <w:tab/>
      </w:r>
      <w:r w:rsidRPr="009A3A93">
        <w:rPr>
          <w:rFonts w:ascii="Arial" w:hAnsi="Arial" w:cs="Arial"/>
          <w:sz w:val="20"/>
          <w:szCs w:val="20"/>
        </w:rPr>
        <w:t xml:space="preserve">Beperking van het gebied waarbinnen de reclamebelasting wordt geheven. Zie voor een </w:t>
      </w:r>
      <w:r w:rsidR="009A3A93">
        <w:rPr>
          <w:rFonts w:ascii="Arial" w:hAnsi="Arial" w:cs="Arial"/>
          <w:sz w:val="20"/>
          <w:szCs w:val="20"/>
        </w:rPr>
        <w:br/>
        <w:t xml:space="preserve">             </w:t>
      </w:r>
      <w:r w:rsidRPr="009A3A93">
        <w:rPr>
          <w:rFonts w:ascii="Arial" w:hAnsi="Arial" w:cs="Arial"/>
          <w:sz w:val="20"/>
          <w:szCs w:val="20"/>
        </w:rPr>
        <w:t xml:space="preserve">uitgebreide toelichting de toelichting bij artikel 2. Openbare aankondigingen buiten dit gebied </w:t>
      </w:r>
      <w:r w:rsidR="009A3A93">
        <w:rPr>
          <w:rFonts w:ascii="Arial" w:hAnsi="Arial" w:cs="Arial"/>
          <w:sz w:val="20"/>
          <w:szCs w:val="20"/>
        </w:rPr>
        <w:t xml:space="preserve">     </w:t>
      </w:r>
      <w:r w:rsidR="009A3A93">
        <w:rPr>
          <w:rFonts w:ascii="Arial" w:hAnsi="Arial" w:cs="Arial"/>
          <w:sz w:val="20"/>
          <w:szCs w:val="20"/>
        </w:rPr>
        <w:br/>
        <w:t xml:space="preserve">             </w:t>
      </w:r>
      <w:r w:rsidRPr="009A3A93">
        <w:rPr>
          <w:rFonts w:ascii="Arial" w:hAnsi="Arial" w:cs="Arial"/>
          <w:sz w:val="20"/>
          <w:szCs w:val="20"/>
        </w:rPr>
        <w:t>zijn geen belastbaar feit.</w:t>
      </w:r>
      <w:r w:rsidR="009A3A93">
        <w:rPr>
          <w:rFonts w:ascii="Arial" w:hAnsi="Arial" w:cs="Arial"/>
          <w:sz w:val="20"/>
          <w:szCs w:val="20"/>
        </w:rPr>
        <w:br/>
        <w:t>2.</w:t>
      </w:r>
      <w:r w:rsidR="009A3A93">
        <w:rPr>
          <w:rFonts w:ascii="Arial" w:hAnsi="Arial" w:cs="Arial"/>
          <w:sz w:val="20"/>
          <w:szCs w:val="20"/>
        </w:rPr>
        <w:tab/>
      </w:r>
      <w:r w:rsidRPr="009A3A93">
        <w:rPr>
          <w:rFonts w:ascii="Arial" w:hAnsi="Arial" w:cs="Arial"/>
          <w:sz w:val="20"/>
          <w:szCs w:val="20"/>
        </w:rPr>
        <w:t xml:space="preserve">Het hanteren van een heffingsmaatstaf die ook voor andere heffingen wordt gehanteerd, nl. de </w:t>
      </w:r>
      <w:r w:rsidR="009A3A93">
        <w:rPr>
          <w:rFonts w:ascii="Arial" w:hAnsi="Arial" w:cs="Arial"/>
          <w:sz w:val="20"/>
          <w:szCs w:val="20"/>
        </w:rPr>
        <w:t xml:space="preserve"> </w:t>
      </w:r>
      <w:r w:rsidR="009A3A93">
        <w:rPr>
          <w:rFonts w:ascii="Arial" w:hAnsi="Arial" w:cs="Arial"/>
          <w:sz w:val="20"/>
          <w:szCs w:val="20"/>
        </w:rPr>
        <w:br/>
        <w:t xml:space="preserve">             </w:t>
      </w:r>
      <w:r w:rsidRPr="009A3A93">
        <w:rPr>
          <w:rFonts w:ascii="Arial" w:hAnsi="Arial" w:cs="Arial"/>
          <w:sz w:val="20"/>
          <w:szCs w:val="20"/>
        </w:rPr>
        <w:t>WOZ-waarde.</w:t>
      </w:r>
      <w:r w:rsidR="009A3A93">
        <w:rPr>
          <w:rFonts w:ascii="Arial" w:hAnsi="Arial" w:cs="Arial"/>
          <w:sz w:val="20"/>
          <w:szCs w:val="20"/>
        </w:rPr>
        <w:br/>
        <w:t>3.</w:t>
      </w:r>
      <w:r w:rsidR="009A3A93">
        <w:rPr>
          <w:rFonts w:ascii="Arial" w:hAnsi="Arial" w:cs="Arial"/>
          <w:sz w:val="20"/>
          <w:szCs w:val="20"/>
        </w:rPr>
        <w:tab/>
      </w:r>
      <w:r w:rsidRPr="009A3A93">
        <w:rPr>
          <w:rFonts w:ascii="Arial" w:hAnsi="Arial" w:cs="Arial"/>
          <w:sz w:val="20"/>
          <w:szCs w:val="20"/>
        </w:rPr>
        <w:t xml:space="preserve">Invoering van een vrijstelling voor openbare aankondigingen die korter dan 13 weken per jaar </w:t>
      </w:r>
      <w:r w:rsidR="009A3A93">
        <w:rPr>
          <w:rFonts w:ascii="Arial" w:hAnsi="Arial" w:cs="Arial"/>
          <w:sz w:val="20"/>
          <w:szCs w:val="20"/>
        </w:rPr>
        <w:br/>
        <w:t xml:space="preserve">             </w:t>
      </w:r>
      <w:r w:rsidRPr="009A3A93">
        <w:rPr>
          <w:rFonts w:ascii="Arial" w:hAnsi="Arial" w:cs="Arial"/>
          <w:sz w:val="20"/>
          <w:szCs w:val="20"/>
        </w:rPr>
        <w:t xml:space="preserve">aanwezig zijn. </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b/>
          <w:sz w:val="20"/>
          <w:szCs w:val="20"/>
        </w:rPr>
      </w:pPr>
      <w:r w:rsidRPr="009A3A93">
        <w:rPr>
          <w:rFonts w:ascii="Arial" w:hAnsi="Arial" w:cs="Arial"/>
          <w:b/>
          <w:sz w:val="20"/>
          <w:szCs w:val="20"/>
        </w:rPr>
        <w:t>Artikelsgewijze toelichting</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u w:val="single"/>
        </w:rPr>
      </w:pPr>
      <w:r w:rsidRPr="009A3A93">
        <w:rPr>
          <w:rFonts w:ascii="Arial" w:hAnsi="Arial" w:cs="Arial"/>
          <w:sz w:val="20"/>
          <w:szCs w:val="20"/>
          <w:u w:val="single"/>
        </w:rPr>
        <w:t>Artikel 1 Begripsomschrijvingen</w:t>
      </w:r>
    </w:p>
    <w:p w:rsidR="009A7846" w:rsidRPr="009A3A93" w:rsidRDefault="009A7846" w:rsidP="009A3A93">
      <w:pPr>
        <w:rPr>
          <w:rFonts w:ascii="Arial" w:hAnsi="Arial" w:cs="Arial"/>
          <w:i/>
          <w:sz w:val="20"/>
          <w:szCs w:val="20"/>
        </w:rPr>
      </w:pPr>
      <w:r w:rsidRPr="009A3A93">
        <w:rPr>
          <w:rFonts w:ascii="Arial" w:hAnsi="Arial" w:cs="Arial"/>
          <w:i/>
          <w:sz w:val="20"/>
          <w:szCs w:val="20"/>
        </w:rPr>
        <w:t>Openbare aankondiging</w:t>
      </w:r>
    </w:p>
    <w:p w:rsidR="009A7846" w:rsidRPr="009A3A93" w:rsidRDefault="009A7846" w:rsidP="009A3A93">
      <w:pPr>
        <w:rPr>
          <w:rFonts w:ascii="Arial" w:hAnsi="Arial" w:cs="Arial"/>
          <w:sz w:val="20"/>
          <w:szCs w:val="20"/>
        </w:rPr>
      </w:pPr>
      <w:r w:rsidRPr="009A3A93">
        <w:rPr>
          <w:rFonts w:ascii="Arial" w:hAnsi="Arial" w:cs="Arial"/>
          <w:sz w:val="20"/>
          <w:szCs w:val="20"/>
        </w:rPr>
        <w:t xml:space="preserve">De naam “reclamebelasting” is enigszins misleidend. Een openbare aankondiging hoeft namelijk geen reclame te zijn. Het is niet noodzakelijk dat in de openbare aankondiging een bepaald product of een bepaalde dienst aan de man wordt gebracht. Zo is een reclamevoorwerp bij een ijssalon of een cafetaria ook een openbare aankondiging, evenals het bord bij de voordeur van de notarispraktijk waarop uitsluitend de naam van de notaris staat vermeld. Hoewel het begrip openbare aankondiging dus ruimer is dan uitsluitend een reclame-uiting wordt in de verordening gesproken van reclameobject. Onder reclameobject wordt verstaan: openbare aankondiging in letters, cijfers, tekens, symbolen, kleuren of een reclamevoorwerp, of een combinatie daarvan, zichtbaar vanaf de openbare weg. </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i/>
          <w:sz w:val="20"/>
          <w:szCs w:val="20"/>
        </w:rPr>
      </w:pPr>
      <w:r w:rsidRPr="009A3A93">
        <w:rPr>
          <w:rFonts w:ascii="Arial" w:hAnsi="Arial" w:cs="Arial"/>
          <w:i/>
          <w:sz w:val="20"/>
          <w:szCs w:val="20"/>
        </w:rPr>
        <w:t>Zichtbaar vanaf de openbare weg</w:t>
      </w:r>
    </w:p>
    <w:p w:rsidR="009A7846" w:rsidRPr="009A3A93" w:rsidRDefault="009A7846" w:rsidP="009A3A93">
      <w:pPr>
        <w:rPr>
          <w:rFonts w:ascii="Arial" w:hAnsi="Arial" w:cs="Arial"/>
          <w:sz w:val="20"/>
          <w:szCs w:val="20"/>
        </w:rPr>
      </w:pPr>
      <w:r w:rsidRPr="009A3A93">
        <w:rPr>
          <w:rFonts w:ascii="Arial" w:hAnsi="Arial" w:cs="Arial"/>
          <w:sz w:val="20"/>
          <w:szCs w:val="20"/>
        </w:rPr>
        <w:t xml:space="preserve">De openbare aankondiging dient op grond van artikel 227 van de Gemeentewet zichtbaar te zijn vanaf de openbare weg. Aankondigingen zijn openbaar indien ze geschieden op plaatsen waar het publiek daarvan kennis kan nemen. </w:t>
      </w:r>
    </w:p>
    <w:p w:rsidR="009A7846" w:rsidRPr="009A3A93" w:rsidRDefault="009A7846" w:rsidP="009A3A93">
      <w:pPr>
        <w:rPr>
          <w:rFonts w:ascii="Arial" w:hAnsi="Arial" w:cs="Arial"/>
          <w:sz w:val="20"/>
          <w:szCs w:val="20"/>
        </w:rPr>
      </w:pPr>
    </w:p>
    <w:p w:rsidR="009A7846" w:rsidRPr="009A3A93" w:rsidRDefault="005363C8" w:rsidP="005363C8">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9A7846" w:rsidRPr="009A3A93">
        <w:rPr>
          <w:rFonts w:ascii="Arial" w:hAnsi="Arial" w:cs="Arial"/>
          <w:sz w:val="20"/>
          <w:szCs w:val="20"/>
        </w:rPr>
        <w:lastRenderedPageBreak/>
        <w:t>Onder het begrip openbare weg wordt verstaan, zoals is beslist in de uitspraak van de Hoge Raad van 21 september 2001, (</w:t>
      </w:r>
      <w:r w:rsidR="009A7846" w:rsidRPr="009A3A93">
        <w:rPr>
          <w:rFonts w:ascii="Arial" w:hAnsi="Arial" w:cs="Arial"/>
          <w:i/>
          <w:sz w:val="20"/>
          <w:szCs w:val="20"/>
        </w:rPr>
        <w:t>nr. 35 502, BNB 2001/378, ECLI:NL:HR:2001:AD3522</w:t>
      </w:r>
      <w:r w:rsidR="009A7846" w:rsidRPr="009A3A93">
        <w:rPr>
          <w:rFonts w:ascii="Arial" w:hAnsi="Arial" w:cs="Arial"/>
          <w:sz w:val="20"/>
          <w:szCs w:val="20"/>
        </w:rPr>
        <w:t>), indien de betrokken wet zelf er niets over zegt, de definitie die daarvan wordt gegeven in de Wegenwet. Artikel 1 van die wet luidt:</w:t>
      </w:r>
      <w:r>
        <w:rPr>
          <w:rFonts w:ascii="Arial" w:hAnsi="Arial" w:cs="Arial"/>
          <w:sz w:val="20"/>
          <w:szCs w:val="20"/>
        </w:rPr>
        <w:br/>
        <w:t>a.</w:t>
      </w:r>
      <w:r>
        <w:rPr>
          <w:rFonts w:ascii="Arial" w:hAnsi="Arial" w:cs="Arial"/>
          <w:sz w:val="20"/>
          <w:szCs w:val="20"/>
        </w:rPr>
        <w:tab/>
      </w:r>
      <w:r w:rsidR="009A7846" w:rsidRPr="009A3A93">
        <w:rPr>
          <w:rFonts w:ascii="Arial" w:hAnsi="Arial" w:cs="Arial"/>
          <w:sz w:val="20"/>
          <w:szCs w:val="20"/>
        </w:rPr>
        <w:t>Deze wet is uitsluitend van toepassing op openbare wegen.</w:t>
      </w:r>
    </w:p>
    <w:p w:rsidR="009A7846" w:rsidRPr="009A3A93" w:rsidRDefault="005363C8" w:rsidP="005363C8">
      <w:pPr>
        <w:ind w:left="360"/>
        <w:rPr>
          <w:rFonts w:ascii="Arial" w:hAnsi="Arial" w:cs="Arial"/>
          <w:sz w:val="20"/>
          <w:szCs w:val="20"/>
        </w:rPr>
      </w:pPr>
      <w:r>
        <w:rPr>
          <w:rFonts w:ascii="Arial" w:hAnsi="Arial" w:cs="Arial"/>
          <w:sz w:val="20"/>
          <w:szCs w:val="20"/>
        </w:rPr>
        <w:t xml:space="preserve">       </w:t>
      </w:r>
      <w:r w:rsidR="009A7846" w:rsidRPr="009A3A93">
        <w:rPr>
          <w:rFonts w:ascii="Arial" w:hAnsi="Arial" w:cs="Arial"/>
          <w:sz w:val="20"/>
          <w:szCs w:val="20"/>
        </w:rPr>
        <w:t>Onder wegen worden mede verstaan:</w:t>
      </w:r>
      <w:r>
        <w:rPr>
          <w:rFonts w:ascii="Arial" w:hAnsi="Arial" w:cs="Arial"/>
          <w:sz w:val="20"/>
          <w:szCs w:val="20"/>
        </w:rPr>
        <w:br/>
        <w:t xml:space="preserve">       I.</w:t>
      </w:r>
      <w:r>
        <w:rPr>
          <w:rFonts w:ascii="Arial" w:hAnsi="Arial" w:cs="Arial"/>
          <w:sz w:val="20"/>
          <w:szCs w:val="20"/>
        </w:rPr>
        <w:tab/>
      </w:r>
      <w:r w:rsidR="009A7846" w:rsidRPr="009A3A93">
        <w:rPr>
          <w:rFonts w:ascii="Arial" w:hAnsi="Arial" w:cs="Arial"/>
          <w:sz w:val="20"/>
          <w:szCs w:val="20"/>
        </w:rPr>
        <w:t xml:space="preserve">voetpaden, rijwielpaden, jaagpaden, dreven, molenwegen, kerkwegen en andere </w:t>
      </w:r>
      <w:r>
        <w:rPr>
          <w:rFonts w:ascii="Arial" w:hAnsi="Arial" w:cs="Arial"/>
          <w:sz w:val="20"/>
          <w:szCs w:val="20"/>
        </w:rPr>
        <w:br/>
        <w:t xml:space="preserve">                   </w:t>
      </w:r>
      <w:r w:rsidR="009A7846" w:rsidRPr="009A3A93">
        <w:rPr>
          <w:rFonts w:ascii="Arial" w:hAnsi="Arial" w:cs="Arial"/>
          <w:sz w:val="20"/>
          <w:szCs w:val="20"/>
        </w:rPr>
        <w:t>verkeersbanen voor beperkt gebruik;</w:t>
      </w:r>
      <w:r>
        <w:rPr>
          <w:rFonts w:ascii="Arial" w:hAnsi="Arial" w:cs="Arial"/>
          <w:sz w:val="20"/>
          <w:szCs w:val="20"/>
        </w:rPr>
        <w:br/>
        <w:t xml:space="preserve">       II.</w:t>
      </w:r>
      <w:r>
        <w:rPr>
          <w:rFonts w:ascii="Arial" w:hAnsi="Arial" w:cs="Arial"/>
          <w:sz w:val="20"/>
          <w:szCs w:val="20"/>
        </w:rPr>
        <w:tab/>
      </w:r>
      <w:r w:rsidR="009A7846" w:rsidRPr="009A3A93">
        <w:rPr>
          <w:rFonts w:ascii="Arial" w:hAnsi="Arial" w:cs="Arial"/>
          <w:sz w:val="20"/>
          <w:szCs w:val="20"/>
        </w:rPr>
        <w:t>bruggen.</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i/>
          <w:sz w:val="20"/>
          <w:szCs w:val="20"/>
        </w:rPr>
      </w:pPr>
      <w:r w:rsidRPr="009A3A93">
        <w:rPr>
          <w:rFonts w:ascii="Arial" w:hAnsi="Arial" w:cs="Arial"/>
          <w:i/>
          <w:sz w:val="20"/>
          <w:szCs w:val="20"/>
        </w:rPr>
        <w:t>Permanent of tijdelijk</w:t>
      </w:r>
    </w:p>
    <w:p w:rsidR="009A7846" w:rsidRPr="009A3A93" w:rsidRDefault="009A7846" w:rsidP="009A3A93">
      <w:pPr>
        <w:rPr>
          <w:rFonts w:ascii="Arial" w:hAnsi="Arial" w:cs="Arial"/>
          <w:sz w:val="20"/>
          <w:szCs w:val="20"/>
        </w:rPr>
      </w:pPr>
      <w:r w:rsidRPr="009A3A93">
        <w:rPr>
          <w:rFonts w:ascii="Arial" w:hAnsi="Arial" w:cs="Arial"/>
          <w:sz w:val="20"/>
          <w:szCs w:val="20"/>
        </w:rPr>
        <w:t xml:space="preserve">Om de uitvoeringskosten/perceptiekosten zo laag mogelijk te houden, worden uitsluitend de reclames die permanent of semipermanent aanwezig zijn belast. Daarom is de regeling zo vormgeven dat alle openbare aankondigingen die minder dan een kwartaal (13 weken) aanwezig zijn, niet onder de heffing vallen. Dit wordt anders wanneer de wisselende aankondigingen in een voorziening zijn aangebracht, die bestemd is voor het voeren van openbare aankondigingen. </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r w:rsidRPr="009A3A93">
        <w:rPr>
          <w:rFonts w:ascii="Arial" w:hAnsi="Arial" w:cs="Arial"/>
          <w:sz w:val="20"/>
          <w:szCs w:val="20"/>
        </w:rPr>
        <w:t>Vestiging</w:t>
      </w:r>
    </w:p>
    <w:p w:rsidR="009A7846" w:rsidRPr="009A3A93" w:rsidRDefault="009A7846" w:rsidP="009A3A93">
      <w:pPr>
        <w:rPr>
          <w:rFonts w:ascii="Arial" w:hAnsi="Arial" w:cs="Arial"/>
          <w:sz w:val="20"/>
          <w:szCs w:val="20"/>
        </w:rPr>
      </w:pPr>
      <w:r w:rsidRPr="009A3A93">
        <w:rPr>
          <w:rFonts w:ascii="Arial" w:hAnsi="Arial" w:cs="Arial"/>
          <w:sz w:val="20"/>
          <w:szCs w:val="20"/>
        </w:rPr>
        <w:t xml:space="preserve">De reclamebelasting zal worden geheven per vestiging, dat wil zeggen de onroerende zaak in de zin van de Wet WOZ, of een deel daarvan dat door één organisatie of bedrijf wordt gebruikt. Dit betekent dat in beginsel ook ieder deel van een onroerende zaak dat apart gebruikt wordt als afzonderlijke vestiging in de reclamebelasting wordt betrokken. Indien de vestiging een zelfstandige onroerende zaak in de zin van artikel 16 van de Wet WOZ vormt, dan is de vestiging gelijk aan de onroerende zaak voor de Wet WOZ. Indien echter binnen één onroerende zaak sprake is van meerdere onzelfstandige delen (die bijvoorbeeld niet afzonderlijk afsluitbaar zijn of niet beschikken over eigen toiletvoorzieningen) kan binnen één onroerende zaak sprake zijn van meerdere vestigingen voor de reclamebelasting. Dit kan zich bijvoorbeeld voordoen bij bedrijfsverzamelgebouwen. In dat geval wordt iedere vestiging, mits sprake is van een van de openbare weg zichtbare openbare aankondiging, afzonderlijk in de heffing betrokken. </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r w:rsidRPr="009A3A93">
        <w:rPr>
          <w:rFonts w:ascii="Arial" w:hAnsi="Arial" w:cs="Arial"/>
          <w:sz w:val="20"/>
          <w:szCs w:val="20"/>
        </w:rPr>
        <w:t>Het kan echter ook voorkomen dat een winkel die als één vestiging (met één naam)wordt geëxploiteerd, volgens de afbakening van de Wet WOZ dient te worden aangemerkt als twee afzonderlijke onroerende zaken. Deze situatie doet zich bijvoorbeeld voor indien één winkel is gevestigd in twee panden van twee verschillende eigenaren. Indien echter sprake is van één winkel en de afzonderlijke objecten direct naast of boven elkaar gelegen zijn, dan is voor de reclamebelasting sprake van één vestiging en zal ook maar één aanslag worden opgelegd.</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u w:val="single"/>
        </w:rPr>
      </w:pPr>
      <w:r w:rsidRPr="009A3A93">
        <w:rPr>
          <w:rFonts w:ascii="Arial" w:hAnsi="Arial" w:cs="Arial"/>
          <w:sz w:val="20"/>
          <w:szCs w:val="20"/>
          <w:u w:val="single"/>
        </w:rPr>
        <w:t>Artikel 2 Gebiedsomschrijving</w:t>
      </w:r>
    </w:p>
    <w:p w:rsidR="009A7846" w:rsidRPr="009A3A93" w:rsidRDefault="009A7846" w:rsidP="009A3A93">
      <w:pPr>
        <w:rPr>
          <w:rFonts w:ascii="Arial" w:hAnsi="Arial" w:cs="Arial"/>
          <w:sz w:val="20"/>
          <w:szCs w:val="20"/>
        </w:rPr>
      </w:pPr>
      <w:r w:rsidRPr="009A3A93">
        <w:rPr>
          <w:rFonts w:ascii="Arial" w:hAnsi="Arial" w:cs="Arial"/>
          <w:sz w:val="20"/>
          <w:szCs w:val="20"/>
        </w:rPr>
        <w:t xml:space="preserve">Alleen binnen het centrum van Geldermalsen geplaatste of aangebrachte openbare aankondigingen vallen onder de reclamebelasting. Op de bij de verordening gevoegde kaart is aangegeven hoever het bereik van de reclamebelasting gaat. Ter zake van aankondigingen buiten de grenzen van dat gebied kan de gemeente dus geen reclamebelasting heffen, ook al zijn deze aankondigingen zichtbaar van de openbare weg. </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r w:rsidRPr="009A3A93">
        <w:rPr>
          <w:rFonts w:ascii="Arial" w:hAnsi="Arial" w:cs="Arial"/>
          <w:sz w:val="20"/>
          <w:szCs w:val="20"/>
        </w:rPr>
        <w:t xml:space="preserve">Dat dit mogelijk is blijkt uit de uitspraak van de Hoge Raad van 11 november 2011 </w:t>
      </w:r>
    </w:p>
    <w:p w:rsidR="009A7846" w:rsidRPr="009A3A93" w:rsidRDefault="009A7846" w:rsidP="009A3A93">
      <w:pPr>
        <w:rPr>
          <w:rFonts w:ascii="Arial" w:hAnsi="Arial" w:cs="Arial"/>
          <w:sz w:val="20"/>
          <w:szCs w:val="20"/>
        </w:rPr>
      </w:pPr>
      <w:r w:rsidRPr="009A3A93">
        <w:rPr>
          <w:rFonts w:ascii="Arial" w:hAnsi="Arial" w:cs="Arial"/>
          <w:sz w:val="20"/>
          <w:szCs w:val="20"/>
        </w:rPr>
        <w:t>(</w:t>
      </w:r>
      <w:r w:rsidRPr="009A3A93">
        <w:rPr>
          <w:rFonts w:ascii="Arial" w:hAnsi="Arial" w:cs="Arial"/>
          <w:i/>
          <w:sz w:val="20"/>
          <w:szCs w:val="20"/>
        </w:rPr>
        <w:t>nr. 10/04446, ECLI:NL:HR:2011:BR4564</w:t>
      </w:r>
      <w:r w:rsidRPr="009A3A93">
        <w:rPr>
          <w:rFonts w:ascii="Arial" w:hAnsi="Arial" w:cs="Arial"/>
          <w:sz w:val="20"/>
          <w:szCs w:val="20"/>
        </w:rPr>
        <w:t xml:space="preserve">), waarin is geoordeeld dat de reclamebelasting gelet op de gemeentelijke autonomie slechts in een deel van de gemeente kan worden ingevoerd, mits daarvoor een objectieve en redelijke rechtvaardigingsgrond bestaat. Indien een gemeente besluit de opbrengst van een reclamebelasting te besteden aan activiteiten en voorzieningen die binnen een bepaald gedeelte van het grondgebied zullen plaatsvinden of gerealiseerd worden, en zij het object van de heffing heeft beperkt tot openbare aankondigingen in het desbetreffende gedeelte van haar grondgebied, is volgens de Hoge Raad sprake van een objectieve en redelijke rechtvaardiging voor die beperking indien de gemeente in redelijkheid heeft mogen uitgaan van de veronderstelling dat op deze wijze degenen die profijt kunnen hebben van de opbrengst van de belasting in de heffing worden betrokken. </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r w:rsidRPr="009A3A93">
        <w:rPr>
          <w:rFonts w:ascii="Arial" w:hAnsi="Arial" w:cs="Arial"/>
          <w:sz w:val="20"/>
          <w:szCs w:val="20"/>
        </w:rPr>
        <w:t xml:space="preserve">De opbrengst zal worden ingezet voor de versterking van het centrum in Geldermalsen, waardoor sprake is van een objectieve rechtvaardiging om slechts in het aangewezen gebied reclamebelasting te heffen. Met de opbrengsten van de heffing zullen de kosten worden betaald van een aantal activiteiten en evenementen, zoals activiteiten rond Moeder- en Vaderdag, Sinterklaas en het </w:t>
      </w:r>
      <w:r w:rsidRPr="009A3A93">
        <w:rPr>
          <w:rFonts w:ascii="Arial" w:hAnsi="Arial" w:cs="Arial"/>
          <w:sz w:val="20"/>
          <w:szCs w:val="20"/>
        </w:rPr>
        <w:lastRenderedPageBreak/>
        <w:t xml:space="preserve">organiseren van een aantal modeshows. Daarnaast zal een deel gebruikt worden voor het houden van een Kerstmarkt en zal Kerstverlichting worden gefinancierd. Tevens zal een deel van de opbrengsten worden gebruikt voor de promotie en marketing van het centrum van Geldermalsen en de aanschaf van banniervlaggen. De met de opbrengsten van de heffing te financieren activiteiten en voorzieningen zijn dus in het bijzondere belang van en van bijzonder profijt voor alle belastingplichtigen die onder het bereik van de heffing vallen. </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u w:val="single"/>
        </w:rPr>
      </w:pPr>
      <w:r w:rsidRPr="009A3A93">
        <w:rPr>
          <w:rFonts w:ascii="Arial" w:hAnsi="Arial" w:cs="Arial"/>
          <w:sz w:val="20"/>
          <w:szCs w:val="20"/>
          <w:u w:val="single"/>
        </w:rPr>
        <w:t>Artikel 3 Belastbaar feit</w:t>
      </w:r>
    </w:p>
    <w:p w:rsidR="009A7846" w:rsidRPr="009A3A93" w:rsidRDefault="009A7846" w:rsidP="009A3A93">
      <w:pPr>
        <w:rPr>
          <w:rFonts w:ascii="Arial" w:hAnsi="Arial" w:cs="Arial"/>
          <w:sz w:val="20"/>
          <w:szCs w:val="20"/>
        </w:rPr>
      </w:pPr>
      <w:r w:rsidRPr="009A3A93">
        <w:rPr>
          <w:rFonts w:ascii="Arial" w:hAnsi="Arial" w:cs="Arial"/>
          <w:sz w:val="20"/>
          <w:szCs w:val="20"/>
        </w:rPr>
        <w:t xml:space="preserve">De omschrijving van het belastbare feit in de verordening is rechtstreeks ontleend aan artikel 227 van de Gemeentewet. Zie voor een toelichting op de verschillende termen uit deze omschrijving de toelichting bij artikel 1. </w:t>
      </w:r>
    </w:p>
    <w:p w:rsidR="009A3A93" w:rsidRPr="009A3A93" w:rsidRDefault="009A3A93" w:rsidP="009A3A93">
      <w:pPr>
        <w:rPr>
          <w:rFonts w:ascii="Arial" w:hAnsi="Arial" w:cs="Arial"/>
          <w:b/>
          <w:sz w:val="20"/>
          <w:szCs w:val="20"/>
        </w:rPr>
      </w:pPr>
    </w:p>
    <w:p w:rsidR="009A7846" w:rsidRPr="009A3A93" w:rsidRDefault="009A7846" w:rsidP="009A3A93">
      <w:pPr>
        <w:rPr>
          <w:rFonts w:ascii="Arial" w:hAnsi="Arial" w:cs="Arial"/>
          <w:sz w:val="20"/>
          <w:szCs w:val="20"/>
          <w:u w:val="single"/>
        </w:rPr>
      </w:pPr>
      <w:r w:rsidRPr="009A3A93">
        <w:rPr>
          <w:rFonts w:ascii="Arial" w:hAnsi="Arial" w:cs="Arial"/>
          <w:sz w:val="20"/>
          <w:szCs w:val="20"/>
          <w:u w:val="single"/>
        </w:rPr>
        <w:t>Artikel 4 Belastingplicht</w:t>
      </w:r>
    </w:p>
    <w:p w:rsidR="009A7846" w:rsidRPr="009A3A93" w:rsidRDefault="009A7846" w:rsidP="009A3A93">
      <w:pPr>
        <w:rPr>
          <w:rFonts w:ascii="Arial" w:hAnsi="Arial" w:cs="Arial"/>
          <w:sz w:val="20"/>
          <w:szCs w:val="20"/>
        </w:rPr>
      </w:pPr>
      <w:r w:rsidRPr="009A3A93">
        <w:rPr>
          <w:rFonts w:ascii="Arial" w:hAnsi="Arial" w:cs="Arial"/>
          <w:sz w:val="20"/>
          <w:szCs w:val="20"/>
        </w:rPr>
        <w:t xml:space="preserve">Een verordening inzake de reclamebelasting dient op basis van </w:t>
      </w:r>
      <w:hyperlink r:id="rId7" w:anchor="start" w:tgtFrame="BODY_DOC" w:history="1">
        <w:r w:rsidRPr="009A3A93">
          <w:rPr>
            <w:rFonts w:ascii="Arial" w:hAnsi="Arial" w:cs="Arial"/>
            <w:sz w:val="20"/>
            <w:szCs w:val="20"/>
          </w:rPr>
          <w:t>art. 217</w:t>
        </w:r>
      </w:hyperlink>
      <w:r w:rsidRPr="009A3A93">
        <w:rPr>
          <w:rFonts w:ascii="Arial" w:hAnsi="Arial" w:cs="Arial"/>
          <w:sz w:val="20"/>
          <w:szCs w:val="20"/>
        </w:rPr>
        <w:t xml:space="preserve"> Gemeentewet te vermelden wie belastingplichtig is. Gemeenten zijn vrij in het kiezen van belastingplichtigen in de belastingverordening, mits een relatie bestaat met openbare aankondigingen, zichtbaar vanaf de openbare weg. </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r w:rsidRPr="009A3A93">
        <w:rPr>
          <w:rFonts w:ascii="Arial" w:hAnsi="Arial" w:cs="Arial"/>
          <w:sz w:val="20"/>
          <w:szCs w:val="20"/>
        </w:rPr>
        <w:t>In de verordening is uitgangspunt dat belastingplichtig is de gebruiker van de vestiging waarop, waaraan, waarin of waarbij één of meer reclameobjecten zijn aangebracht dan wel zijn geplaatst.</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u w:val="single"/>
        </w:rPr>
      </w:pPr>
      <w:r w:rsidRPr="009A3A93">
        <w:rPr>
          <w:rFonts w:ascii="Arial" w:hAnsi="Arial" w:cs="Arial"/>
          <w:sz w:val="20"/>
          <w:szCs w:val="20"/>
          <w:u w:val="single"/>
        </w:rPr>
        <w:t>Artikel 5 Belastingobject</w:t>
      </w:r>
    </w:p>
    <w:p w:rsidR="009A7846" w:rsidRPr="009A3A93" w:rsidRDefault="009A7846" w:rsidP="009A3A93">
      <w:pPr>
        <w:rPr>
          <w:rFonts w:ascii="Arial" w:hAnsi="Arial" w:cs="Arial"/>
          <w:sz w:val="20"/>
          <w:szCs w:val="20"/>
        </w:rPr>
      </w:pPr>
      <w:r w:rsidRPr="009A3A93">
        <w:rPr>
          <w:rFonts w:ascii="Arial" w:hAnsi="Arial" w:cs="Arial"/>
          <w:sz w:val="20"/>
          <w:szCs w:val="20"/>
        </w:rPr>
        <w:t>De reclamebelasting wordt geheven per vestiging. Een nadere toelichting van het begrip vestiging is opgenomen in artikel 1.</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u w:val="single"/>
        </w:rPr>
      </w:pPr>
      <w:r w:rsidRPr="009A3A93">
        <w:rPr>
          <w:rFonts w:ascii="Arial" w:hAnsi="Arial" w:cs="Arial"/>
          <w:sz w:val="20"/>
          <w:szCs w:val="20"/>
          <w:u w:val="single"/>
        </w:rPr>
        <w:t xml:space="preserve">Artikel 6 Maatstaf van heffing </w:t>
      </w:r>
    </w:p>
    <w:p w:rsidR="009A7846" w:rsidRPr="009A3A93" w:rsidRDefault="009A7846" w:rsidP="009A3A93">
      <w:pPr>
        <w:rPr>
          <w:rFonts w:ascii="Arial" w:hAnsi="Arial" w:cs="Arial"/>
          <w:sz w:val="20"/>
          <w:szCs w:val="20"/>
        </w:rPr>
      </w:pPr>
      <w:r w:rsidRPr="009A3A93">
        <w:rPr>
          <w:rFonts w:ascii="Arial" w:hAnsi="Arial" w:cs="Arial"/>
          <w:sz w:val="20"/>
          <w:szCs w:val="20"/>
        </w:rPr>
        <w:t>De Gemeentewet schrijft geen heffingsmaatstaf of tarief voor. Bij het bepalen van heffingsmaatstaven of tarieven dient evenwel te worden voldaan aan de algemene beginselen van behoorlijk bestuur. De gemeentelijke wetgever dient bij het opnemen van de heffingsmaatstaven rekening te houden met de algemene rechtsbeginselen, zoals het gelijkheidsbeginsel en het evenredigheidsbeginsel (Kamerstukken II 1989/90, 21 591, nr. 3, blz. 66-67)</w:t>
      </w:r>
      <w:r w:rsidRPr="009A3A93">
        <w:rPr>
          <w:rFonts w:ascii="Arial" w:hAnsi="Arial" w:cs="Arial"/>
          <w:i/>
          <w:sz w:val="20"/>
          <w:szCs w:val="20"/>
        </w:rPr>
        <w:t xml:space="preserve">. </w:t>
      </w:r>
      <w:r w:rsidRPr="009A3A93">
        <w:rPr>
          <w:rFonts w:ascii="Arial" w:hAnsi="Arial" w:cs="Arial"/>
          <w:sz w:val="20"/>
          <w:szCs w:val="20"/>
        </w:rPr>
        <w:t xml:space="preserve">De belastingheffing mag niet leiden een onredelijke en willekeurige belastingheffing die de wetgever bij het toekennen van de bevoegdheid tot heffen niet op het oog kan hebben gehad. </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r w:rsidRPr="009A3A93">
        <w:rPr>
          <w:rFonts w:ascii="Arial" w:hAnsi="Arial" w:cs="Arial"/>
          <w:sz w:val="20"/>
          <w:szCs w:val="20"/>
        </w:rPr>
        <w:t>Het staat gemeenten volgens de wetgever vrij om de heffingsmaatstaf te nemen die zich het beste verstaat met het gemeentelijke beleid en de praktijk van de belastingheffing. In de uitspraak van de Hoge Raad van 11 november 2011, alsmede de daaraan voorafgaande conclusie van de Advocaat-Generaal, is deze gemeentelijke keuzevrijheid nogmaals herhaald. De gemeente Geldermalsen heeft ervoor gekozen om voor de heffingsmaatstaf aan te sluiten bij de WOZ-waarde.</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r w:rsidRPr="009A3A93">
        <w:rPr>
          <w:rFonts w:ascii="Arial" w:hAnsi="Arial" w:cs="Arial"/>
          <w:sz w:val="20"/>
          <w:szCs w:val="20"/>
        </w:rPr>
        <w:t xml:space="preserve">Ten aanzien van een aantal andere lokale heffingen, zoals de rioolheffing en de precariobelasting, heeft de belastingrechter inmiddels geoordeeld dat de WOZ-waarde kan worden gehanteerd als mogelijke heffingsmaatstaf. Net als bij deze heffingen, is er ook bij de reclamebelasting een relatie tussen de heffingsmaatstaf en het heffingsobject in de zin dat de openbare aankondigingen voor meer bezoekers zorgen, waardoor de gebruikswaarde van de onroerende zaak toeneemt. Bovendien leidt het hanteren van de WOZ-waarde ertoe dat sprake is van een eerlijke en evenwichtige lastenverdeling, hetgeen de acceptatie onder de belastingplichtigen vergroot. </w:t>
      </w:r>
    </w:p>
    <w:p w:rsidR="009A7846" w:rsidRPr="009A3A93" w:rsidRDefault="009A7846" w:rsidP="009A3A93">
      <w:pPr>
        <w:rPr>
          <w:rFonts w:ascii="Arial" w:hAnsi="Arial" w:cs="Arial"/>
          <w:sz w:val="20"/>
          <w:szCs w:val="20"/>
        </w:rPr>
      </w:pPr>
      <w:r w:rsidRPr="009A3A93">
        <w:rPr>
          <w:rFonts w:ascii="Arial" w:hAnsi="Arial" w:cs="Arial"/>
          <w:sz w:val="20"/>
          <w:szCs w:val="20"/>
        </w:rPr>
        <w:t>Tenslotte blijven door het hanteren van WOZ-waarde de perceptiekosten zeer beperkt, waardoor er per saldo meer netto opbrengsten resteren voor de uitvoering van de activiteiten en voorzieningen, die middels het ondernemersfonds zullen worden georganiseerd c.q. gerealiseerd.</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r w:rsidRPr="009A3A93">
        <w:rPr>
          <w:rFonts w:ascii="Arial" w:hAnsi="Arial" w:cs="Arial"/>
          <w:sz w:val="20"/>
          <w:szCs w:val="20"/>
        </w:rPr>
        <w:t xml:space="preserve">Er is gekozen voor een systematiek waarbij per vestiging een vast bedrag in rekening zal worden gebracht en, indien de WOZ-waarde meer dan € </w:t>
      </w:r>
      <w:r w:rsidR="009A3A93" w:rsidRPr="009A3A93">
        <w:rPr>
          <w:rFonts w:ascii="Arial" w:hAnsi="Arial" w:cs="Arial"/>
          <w:sz w:val="20"/>
          <w:szCs w:val="20"/>
        </w:rPr>
        <w:t>350</w:t>
      </w:r>
      <w:r w:rsidRPr="009A3A93">
        <w:rPr>
          <w:rFonts w:ascii="Arial" w:hAnsi="Arial" w:cs="Arial"/>
          <w:sz w:val="20"/>
          <w:szCs w:val="20"/>
        </w:rPr>
        <w:t>.000,-</w:t>
      </w:r>
      <w:r w:rsidR="009A3A93" w:rsidRPr="009A3A93">
        <w:rPr>
          <w:rFonts w:ascii="Arial" w:hAnsi="Arial" w:cs="Arial"/>
          <w:sz w:val="20"/>
          <w:szCs w:val="20"/>
        </w:rPr>
        <w:t>-</w:t>
      </w:r>
      <w:r w:rsidRPr="009A3A93">
        <w:rPr>
          <w:rFonts w:ascii="Arial" w:hAnsi="Arial" w:cs="Arial"/>
          <w:sz w:val="20"/>
          <w:szCs w:val="20"/>
        </w:rPr>
        <w:t xml:space="preserve"> bedraagt, een variabel bedrag dat afhankelijk is van de totale WOZ-waarde. Analoog aan de bepalingen uit de OZB, zullen de onderdelen van een onroerende zaak die als woning kunnen worden gekwalificeerd voor het bepalen van de hoogte van de heffingsmaatstaf buiten aanmerking worden gelaten.</w:t>
      </w:r>
    </w:p>
    <w:p w:rsidR="009A7846" w:rsidRDefault="009A7846" w:rsidP="009A3A93">
      <w:pPr>
        <w:rPr>
          <w:rFonts w:ascii="Arial" w:hAnsi="Arial" w:cs="Arial"/>
          <w:sz w:val="20"/>
          <w:szCs w:val="20"/>
        </w:rPr>
      </w:pPr>
    </w:p>
    <w:p w:rsidR="005363C8" w:rsidRDefault="005363C8" w:rsidP="009A3A93">
      <w:pPr>
        <w:rPr>
          <w:rFonts w:ascii="Arial" w:hAnsi="Arial" w:cs="Arial"/>
          <w:sz w:val="20"/>
          <w:szCs w:val="20"/>
        </w:rPr>
      </w:pPr>
    </w:p>
    <w:p w:rsidR="005363C8" w:rsidRDefault="005363C8" w:rsidP="009A3A93">
      <w:pPr>
        <w:rPr>
          <w:rFonts w:ascii="Arial" w:hAnsi="Arial" w:cs="Arial"/>
          <w:sz w:val="20"/>
          <w:szCs w:val="20"/>
        </w:rPr>
      </w:pPr>
    </w:p>
    <w:p w:rsidR="005363C8" w:rsidRPr="009A3A93" w:rsidRDefault="005363C8" w:rsidP="009A3A93">
      <w:pPr>
        <w:rPr>
          <w:rFonts w:ascii="Arial" w:hAnsi="Arial" w:cs="Arial"/>
          <w:sz w:val="20"/>
          <w:szCs w:val="20"/>
        </w:rPr>
      </w:pPr>
    </w:p>
    <w:p w:rsidR="009A7846" w:rsidRPr="009A3A93" w:rsidRDefault="009A7846" w:rsidP="009A3A93">
      <w:pPr>
        <w:rPr>
          <w:rFonts w:ascii="Arial" w:hAnsi="Arial" w:cs="Arial"/>
          <w:sz w:val="20"/>
          <w:szCs w:val="20"/>
        </w:rPr>
      </w:pPr>
      <w:r w:rsidRPr="009A3A93">
        <w:rPr>
          <w:rFonts w:ascii="Arial" w:hAnsi="Arial" w:cs="Arial"/>
          <w:sz w:val="20"/>
          <w:szCs w:val="20"/>
          <w:u w:val="single"/>
        </w:rPr>
        <w:lastRenderedPageBreak/>
        <w:t>Artikel 7 Belastingtarief</w:t>
      </w:r>
    </w:p>
    <w:p w:rsidR="009A7846" w:rsidRPr="009A3A93" w:rsidRDefault="009A7846" w:rsidP="009A3A93">
      <w:pPr>
        <w:rPr>
          <w:rFonts w:ascii="Arial" w:hAnsi="Arial" w:cs="Arial"/>
          <w:sz w:val="20"/>
          <w:szCs w:val="20"/>
        </w:rPr>
      </w:pPr>
      <w:r w:rsidRPr="009A3A93">
        <w:rPr>
          <w:rFonts w:ascii="Arial" w:hAnsi="Arial" w:cs="Arial"/>
          <w:sz w:val="20"/>
          <w:szCs w:val="20"/>
        </w:rPr>
        <w:t xml:space="preserve">Iedere binnen het aangewezen gebied gelegen vestiging waarbij een openbare aankondiging aanwezig is, betaalt een vast bedrag ter hoogte van € </w:t>
      </w:r>
      <w:r w:rsidR="009A3A93" w:rsidRPr="009A3A93">
        <w:rPr>
          <w:rFonts w:ascii="Arial" w:hAnsi="Arial" w:cs="Arial"/>
          <w:sz w:val="20"/>
          <w:szCs w:val="20"/>
        </w:rPr>
        <w:t>350</w:t>
      </w:r>
      <w:r w:rsidRPr="009A3A93">
        <w:rPr>
          <w:rFonts w:ascii="Arial" w:hAnsi="Arial" w:cs="Arial"/>
          <w:sz w:val="20"/>
          <w:szCs w:val="20"/>
        </w:rPr>
        <w:t>,-</w:t>
      </w:r>
      <w:r w:rsidR="009A3A93" w:rsidRPr="009A3A93">
        <w:rPr>
          <w:rFonts w:ascii="Arial" w:hAnsi="Arial" w:cs="Arial"/>
          <w:sz w:val="20"/>
          <w:szCs w:val="20"/>
        </w:rPr>
        <w:t>-</w:t>
      </w:r>
      <w:r w:rsidRPr="009A3A93">
        <w:rPr>
          <w:rFonts w:ascii="Arial" w:hAnsi="Arial" w:cs="Arial"/>
          <w:sz w:val="20"/>
          <w:szCs w:val="20"/>
        </w:rPr>
        <w:t xml:space="preserve">. Daarnaast betaalt men, voor zover de WOZ-waarde van de vestiging meer bedraagt dan € </w:t>
      </w:r>
      <w:r w:rsidR="009A3A93" w:rsidRPr="009A3A93">
        <w:rPr>
          <w:rFonts w:ascii="Arial" w:hAnsi="Arial" w:cs="Arial"/>
          <w:sz w:val="20"/>
          <w:szCs w:val="20"/>
        </w:rPr>
        <w:t>350</w:t>
      </w:r>
      <w:r w:rsidRPr="009A3A93">
        <w:rPr>
          <w:rFonts w:ascii="Arial" w:hAnsi="Arial" w:cs="Arial"/>
          <w:sz w:val="20"/>
          <w:szCs w:val="20"/>
        </w:rPr>
        <w:t>.000,-</w:t>
      </w:r>
      <w:r w:rsidR="009A3A93" w:rsidRPr="009A3A93">
        <w:rPr>
          <w:rFonts w:ascii="Arial" w:hAnsi="Arial" w:cs="Arial"/>
          <w:sz w:val="20"/>
          <w:szCs w:val="20"/>
        </w:rPr>
        <w:t>-</w:t>
      </w:r>
      <w:r w:rsidRPr="009A3A93">
        <w:rPr>
          <w:rFonts w:ascii="Arial" w:hAnsi="Arial" w:cs="Arial"/>
          <w:sz w:val="20"/>
          <w:szCs w:val="20"/>
        </w:rPr>
        <w:t xml:space="preserve"> een variabel deel ter hoogte van </w:t>
      </w:r>
    </w:p>
    <w:p w:rsidR="009A7846" w:rsidRPr="009A3A93" w:rsidRDefault="009A7846" w:rsidP="009A3A93">
      <w:pPr>
        <w:rPr>
          <w:rFonts w:ascii="Arial" w:hAnsi="Arial" w:cs="Arial"/>
          <w:sz w:val="20"/>
          <w:szCs w:val="20"/>
        </w:rPr>
      </w:pPr>
      <w:r w:rsidRPr="009A3A93">
        <w:rPr>
          <w:rFonts w:ascii="Arial" w:hAnsi="Arial" w:cs="Arial"/>
          <w:sz w:val="20"/>
          <w:szCs w:val="20"/>
        </w:rPr>
        <w:t>€ 1,-</w:t>
      </w:r>
      <w:r w:rsidR="009A3A93" w:rsidRPr="009A3A93">
        <w:rPr>
          <w:rFonts w:ascii="Arial" w:hAnsi="Arial" w:cs="Arial"/>
          <w:sz w:val="20"/>
          <w:szCs w:val="20"/>
        </w:rPr>
        <w:t>-</w:t>
      </w:r>
      <w:r w:rsidRPr="009A3A93">
        <w:rPr>
          <w:rFonts w:ascii="Arial" w:hAnsi="Arial" w:cs="Arial"/>
          <w:sz w:val="20"/>
          <w:szCs w:val="20"/>
        </w:rPr>
        <w:t xml:space="preserve"> per € 1000,-</w:t>
      </w:r>
      <w:r w:rsidR="009A3A93" w:rsidRPr="009A3A93">
        <w:rPr>
          <w:rFonts w:ascii="Arial" w:hAnsi="Arial" w:cs="Arial"/>
          <w:sz w:val="20"/>
          <w:szCs w:val="20"/>
        </w:rPr>
        <w:t>-</w:t>
      </w:r>
      <w:r w:rsidRPr="009A3A93">
        <w:rPr>
          <w:rFonts w:ascii="Arial" w:hAnsi="Arial" w:cs="Arial"/>
          <w:sz w:val="20"/>
          <w:szCs w:val="20"/>
        </w:rPr>
        <w:t xml:space="preserve"> waarde. Indien de WOZ-waarde van een vestiging bijvoorbeeld € 400.000,-</w:t>
      </w:r>
      <w:r w:rsidR="009A3A93" w:rsidRPr="009A3A93">
        <w:rPr>
          <w:rFonts w:ascii="Arial" w:hAnsi="Arial" w:cs="Arial"/>
          <w:sz w:val="20"/>
          <w:szCs w:val="20"/>
        </w:rPr>
        <w:t>-</w:t>
      </w:r>
      <w:r w:rsidRPr="009A3A93">
        <w:rPr>
          <w:rFonts w:ascii="Arial" w:hAnsi="Arial" w:cs="Arial"/>
          <w:sz w:val="20"/>
          <w:szCs w:val="20"/>
        </w:rPr>
        <w:t xml:space="preserve"> bedraagt, dan dient </w:t>
      </w:r>
      <w:r w:rsidR="009A3A93" w:rsidRPr="009A3A93">
        <w:rPr>
          <w:rFonts w:ascii="Arial" w:hAnsi="Arial" w:cs="Arial"/>
          <w:sz w:val="20"/>
          <w:szCs w:val="20"/>
        </w:rPr>
        <w:t>€ 400,-- (</w:t>
      </w:r>
      <w:r w:rsidRPr="009A3A93">
        <w:rPr>
          <w:rFonts w:ascii="Arial" w:hAnsi="Arial" w:cs="Arial"/>
          <w:sz w:val="20"/>
          <w:szCs w:val="20"/>
        </w:rPr>
        <w:t xml:space="preserve">€ </w:t>
      </w:r>
      <w:r w:rsidR="009A3A93" w:rsidRPr="009A3A93">
        <w:rPr>
          <w:rFonts w:ascii="Arial" w:hAnsi="Arial" w:cs="Arial"/>
          <w:sz w:val="20"/>
          <w:szCs w:val="20"/>
        </w:rPr>
        <w:t>350</w:t>
      </w:r>
      <w:r w:rsidRPr="009A3A93">
        <w:rPr>
          <w:rFonts w:ascii="Arial" w:hAnsi="Arial" w:cs="Arial"/>
          <w:sz w:val="20"/>
          <w:szCs w:val="20"/>
        </w:rPr>
        <w:t>,-</w:t>
      </w:r>
      <w:r w:rsidR="009A3A93" w:rsidRPr="009A3A93">
        <w:rPr>
          <w:rFonts w:ascii="Arial" w:hAnsi="Arial" w:cs="Arial"/>
          <w:sz w:val="20"/>
          <w:szCs w:val="20"/>
        </w:rPr>
        <w:t>-</w:t>
      </w:r>
      <w:r w:rsidRPr="009A3A93">
        <w:rPr>
          <w:rFonts w:ascii="Arial" w:hAnsi="Arial" w:cs="Arial"/>
          <w:sz w:val="20"/>
          <w:szCs w:val="20"/>
        </w:rPr>
        <w:t xml:space="preserve"> </w:t>
      </w:r>
      <w:r w:rsidR="009A3A93" w:rsidRPr="009A3A93">
        <w:rPr>
          <w:rFonts w:ascii="Arial" w:hAnsi="Arial" w:cs="Arial"/>
          <w:sz w:val="20"/>
          <w:szCs w:val="20"/>
        </w:rPr>
        <w:t>+</w:t>
      </w:r>
      <w:r w:rsidRPr="009A3A93">
        <w:rPr>
          <w:rFonts w:ascii="Arial" w:hAnsi="Arial" w:cs="Arial"/>
          <w:sz w:val="20"/>
          <w:szCs w:val="20"/>
        </w:rPr>
        <w:t xml:space="preserve"> € </w:t>
      </w:r>
      <w:r w:rsidR="009A3A93" w:rsidRPr="009A3A93">
        <w:rPr>
          <w:rFonts w:ascii="Arial" w:hAnsi="Arial" w:cs="Arial"/>
          <w:sz w:val="20"/>
          <w:szCs w:val="20"/>
        </w:rPr>
        <w:t>50</w:t>
      </w:r>
      <w:r w:rsidRPr="009A3A93">
        <w:rPr>
          <w:rFonts w:ascii="Arial" w:hAnsi="Arial" w:cs="Arial"/>
          <w:sz w:val="20"/>
          <w:szCs w:val="20"/>
        </w:rPr>
        <w:t>,-</w:t>
      </w:r>
      <w:r w:rsidR="009A3A93" w:rsidRPr="009A3A93">
        <w:rPr>
          <w:rFonts w:ascii="Arial" w:hAnsi="Arial" w:cs="Arial"/>
          <w:sz w:val="20"/>
          <w:szCs w:val="20"/>
        </w:rPr>
        <w:t>-)</w:t>
      </w:r>
      <w:r w:rsidRPr="009A3A93">
        <w:rPr>
          <w:rFonts w:ascii="Arial" w:hAnsi="Arial" w:cs="Arial"/>
          <w:sz w:val="20"/>
          <w:szCs w:val="20"/>
        </w:rPr>
        <w:t xml:space="preserve"> te worden voldaan. De totale belasting bedraagt maximaal € 1.000,-</w:t>
      </w:r>
      <w:r w:rsidR="009A3A93" w:rsidRPr="009A3A93">
        <w:rPr>
          <w:rFonts w:ascii="Arial" w:hAnsi="Arial" w:cs="Arial"/>
          <w:sz w:val="20"/>
          <w:szCs w:val="20"/>
        </w:rPr>
        <w:t>-</w:t>
      </w:r>
      <w:r w:rsidRPr="009A3A93">
        <w:rPr>
          <w:rFonts w:ascii="Arial" w:hAnsi="Arial" w:cs="Arial"/>
          <w:sz w:val="20"/>
          <w:szCs w:val="20"/>
        </w:rPr>
        <w:t>.</w:t>
      </w:r>
    </w:p>
    <w:p w:rsidR="009A7846" w:rsidRPr="009A3A93" w:rsidRDefault="009A7846" w:rsidP="009A3A93">
      <w:pPr>
        <w:rPr>
          <w:rFonts w:ascii="Arial" w:hAnsi="Arial" w:cs="Arial"/>
          <w:sz w:val="20"/>
          <w:szCs w:val="20"/>
        </w:rPr>
      </w:pPr>
    </w:p>
    <w:p w:rsidR="009A7846" w:rsidRPr="009A3A93" w:rsidRDefault="009A7846" w:rsidP="009A3A93">
      <w:pPr>
        <w:keepNext/>
        <w:rPr>
          <w:rFonts w:ascii="Arial" w:hAnsi="Arial" w:cs="Arial"/>
          <w:sz w:val="20"/>
          <w:szCs w:val="20"/>
          <w:u w:val="single"/>
        </w:rPr>
      </w:pPr>
      <w:r w:rsidRPr="009A3A93">
        <w:rPr>
          <w:rFonts w:ascii="Arial" w:hAnsi="Arial" w:cs="Arial"/>
          <w:sz w:val="20"/>
          <w:szCs w:val="20"/>
          <w:u w:val="single"/>
        </w:rPr>
        <w:t>Artikel 8 Belastingtijdvak</w:t>
      </w:r>
    </w:p>
    <w:p w:rsidR="009A7846" w:rsidRPr="009A3A93" w:rsidRDefault="009A7846" w:rsidP="009A3A93">
      <w:pPr>
        <w:rPr>
          <w:rFonts w:ascii="Arial" w:hAnsi="Arial" w:cs="Arial"/>
          <w:sz w:val="20"/>
          <w:szCs w:val="20"/>
        </w:rPr>
      </w:pPr>
      <w:r w:rsidRPr="009A3A93">
        <w:rPr>
          <w:rFonts w:ascii="Arial" w:hAnsi="Arial" w:cs="Arial"/>
          <w:sz w:val="20"/>
          <w:szCs w:val="20"/>
        </w:rPr>
        <w:t xml:space="preserve">Het belastingtijdvak is gelijk aan een kalenderjaar, en loopt aldus van 1 januari tot en met 31 december. </w:t>
      </w:r>
    </w:p>
    <w:p w:rsidR="009A7846" w:rsidRPr="009A3A93" w:rsidRDefault="009A7846" w:rsidP="009A3A93">
      <w:pPr>
        <w:rPr>
          <w:rFonts w:ascii="Arial" w:hAnsi="Arial" w:cs="Arial"/>
          <w:sz w:val="20"/>
          <w:szCs w:val="20"/>
        </w:rPr>
      </w:pPr>
    </w:p>
    <w:p w:rsidR="009A7846" w:rsidRPr="009A3A93" w:rsidRDefault="009A7846" w:rsidP="009A3A93">
      <w:pPr>
        <w:keepNext/>
        <w:rPr>
          <w:rFonts w:ascii="Arial" w:hAnsi="Arial" w:cs="Arial"/>
          <w:sz w:val="20"/>
          <w:szCs w:val="20"/>
          <w:u w:val="single"/>
        </w:rPr>
      </w:pPr>
      <w:r w:rsidRPr="009A3A93">
        <w:rPr>
          <w:rFonts w:ascii="Arial" w:hAnsi="Arial" w:cs="Arial"/>
          <w:sz w:val="20"/>
          <w:szCs w:val="20"/>
          <w:u w:val="single"/>
        </w:rPr>
        <w:t>Artikel 9 Ontstaan van de belastingschuld en heffing naar tijdsgelang</w:t>
      </w:r>
    </w:p>
    <w:p w:rsidR="009A7846" w:rsidRPr="009A3A93" w:rsidRDefault="009A7846" w:rsidP="009A3A93">
      <w:pPr>
        <w:rPr>
          <w:rFonts w:ascii="Arial" w:hAnsi="Arial" w:cs="Arial"/>
          <w:sz w:val="20"/>
          <w:szCs w:val="20"/>
        </w:rPr>
      </w:pPr>
      <w:r w:rsidRPr="009A3A93">
        <w:rPr>
          <w:rFonts w:ascii="Arial" w:hAnsi="Arial" w:cs="Arial"/>
          <w:sz w:val="20"/>
          <w:szCs w:val="20"/>
        </w:rPr>
        <w:t>In het eerste lid is bepaald dat de belastingschuld ontstaat bij het begin van het belastingtijdvak. Dat betekent dat de aanslag onmiddellijk na aanvang van het belastingtijdvak kan worden opgelegd.</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r w:rsidRPr="009A3A93">
        <w:rPr>
          <w:rFonts w:ascii="Arial" w:hAnsi="Arial" w:cs="Arial"/>
          <w:sz w:val="20"/>
          <w:szCs w:val="20"/>
        </w:rPr>
        <w:t xml:space="preserve">Het kan zijn dat de belastingplicht ter zake van de openbare aankondigingen pas in de loop van het belastingtijdvak ontstaat, doordat de openbare aankondigingen ná 1 januari worden geplaatst. Er is dan sprake van een </w:t>
      </w:r>
      <w:r w:rsidR="009A3A93" w:rsidRPr="009A3A93">
        <w:rPr>
          <w:rFonts w:ascii="Arial" w:hAnsi="Arial" w:cs="Arial"/>
          <w:sz w:val="20"/>
          <w:szCs w:val="20"/>
        </w:rPr>
        <w:t>‘</w:t>
      </w:r>
      <w:r w:rsidRPr="009A3A93">
        <w:rPr>
          <w:rFonts w:ascii="Arial" w:hAnsi="Arial" w:cs="Arial"/>
          <w:sz w:val="20"/>
          <w:szCs w:val="20"/>
        </w:rPr>
        <w:t>nieuwe belastingplichtige’, die eerder in het jaar nog geen voorwerpen of openbare aankondigingen had, althans niet voor de vestiging waarop het nieuwe reclameobject is aangebracht. Het tweede lid biedt de mogelijkheid om in die gevallen een aanslag op te leggen. Het derde lid bepaalt dan de hoogte van de aanslag. Die is gebaseerd op het aantal volle maanden dat na aanvang van de belastingplicht nog overblijft. Deze situatie kan zich ook voordoen indien sprake is van een nieuwe gebruiker.</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r w:rsidRPr="009A3A93">
        <w:rPr>
          <w:rFonts w:ascii="Arial" w:hAnsi="Arial" w:cs="Arial"/>
          <w:bCs/>
          <w:sz w:val="20"/>
          <w:szCs w:val="20"/>
        </w:rPr>
        <w:t>Wat te doen in het geval</w:t>
      </w:r>
      <w:r w:rsidRPr="009A3A93">
        <w:rPr>
          <w:rFonts w:ascii="Arial" w:hAnsi="Arial" w:cs="Arial"/>
          <w:sz w:val="20"/>
          <w:szCs w:val="20"/>
        </w:rPr>
        <w:t xml:space="preserve"> dat alle openbare aankondigingen worden weggehaald dan wel het gebruik van de vestiging wordt beëindigd, </w:t>
      </w:r>
      <w:r w:rsidRPr="009A3A93">
        <w:rPr>
          <w:rFonts w:ascii="Arial" w:hAnsi="Arial" w:cs="Arial"/>
          <w:bCs/>
          <w:sz w:val="20"/>
          <w:szCs w:val="20"/>
        </w:rPr>
        <w:t xml:space="preserve">is geregeld in </w:t>
      </w:r>
      <w:r w:rsidRPr="009A3A93">
        <w:rPr>
          <w:rFonts w:ascii="Arial" w:hAnsi="Arial" w:cs="Arial"/>
          <w:sz w:val="20"/>
          <w:szCs w:val="20"/>
        </w:rPr>
        <w:t xml:space="preserve">het vierde lid. De belastingplichtige dient daartoe een verzoek in bij de heffingsambtenaar. </w:t>
      </w:r>
    </w:p>
    <w:p w:rsidR="009A7846" w:rsidRPr="009A3A93" w:rsidRDefault="009A7846" w:rsidP="009A3A93">
      <w:pPr>
        <w:rPr>
          <w:rFonts w:ascii="Arial" w:hAnsi="Arial" w:cs="Arial"/>
          <w:sz w:val="20"/>
          <w:szCs w:val="20"/>
          <w:u w:val="single"/>
        </w:rPr>
      </w:pPr>
    </w:p>
    <w:p w:rsidR="009A7846" w:rsidRPr="009A3A93" w:rsidRDefault="009A7846" w:rsidP="009A3A93">
      <w:pPr>
        <w:rPr>
          <w:rFonts w:ascii="Arial" w:hAnsi="Arial" w:cs="Arial"/>
          <w:sz w:val="20"/>
          <w:szCs w:val="20"/>
          <w:u w:val="single"/>
        </w:rPr>
      </w:pPr>
      <w:r w:rsidRPr="009A3A93">
        <w:rPr>
          <w:rFonts w:ascii="Arial" w:hAnsi="Arial" w:cs="Arial"/>
          <w:sz w:val="20"/>
          <w:szCs w:val="20"/>
          <w:u w:val="single"/>
        </w:rPr>
        <w:t>Artikel 10 Wijze van heffing</w:t>
      </w:r>
    </w:p>
    <w:p w:rsidR="009A7846" w:rsidRPr="009A3A93" w:rsidRDefault="009A7846" w:rsidP="009A3A93">
      <w:pPr>
        <w:rPr>
          <w:rFonts w:ascii="Arial" w:hAnsi="Arial" w:cs="Arial"/>
          <w:sz w:val="20"/>
          <w:szCs w:val="20"/>
        </w:rPr>
      </w:pPr>
      <w:r w:rsidRPr="009A3A93">
        <w:rPr>
          <w:rFonts w:ascii="Arial" w:hAnsi="Arial" w:cs="Arial"/>
          <w:sz w:val="20"/>
          <w:szCs w:val="20"/>
        </w:rPr>
        <w:t xml:space="preserve">Gekozen is voor een vertrouwde heffingstechniek: de oplegging van een aanslag. </w:t>
      </w:r>
    </w:p>
    <w:p w:rsidR="009A7846" w:rsidRPr="009A3A93" w:rsidRDefault="009A7846" w:rsidP="009A3A93">
      <w:pPr>
        <w:keepNext/>
        <w:rPr>
          <w:rFonts w:ascii="Arial" w:hAnsi="Arial" w:cs="Arial"/>
          <w:sz w:val="20"/>
          <w:szCs w:val="20"/>
          <w:u w:val="single"/>
        </w:rPr>
      </w:pPr>
    </w:p>
    <w:p w:rsidR="009A7846" w:rsidRPr="009A3A93" w:rsidRDefault="009A7846" w:rsidP="009A3A93">
      <w:pPr>
        <w:keepNext/>
        <w:rPr>
          <w:rFonts w:ascii="Arial" w:hAnsi="Arial" w:cs="Arial"/>
          <w:sz w:val="20"/>
          <w:szCs w:val="20"/>
          <w:u w:val="single"/>
        </w:rPr>
      </w:pPr>
      <w:r w:rsidRPr="009A3A93">
        <w:rPr>
          <w:rFonts w:ascii="Arial" w:hAnsi="Arial" w:cs="Arial"/>
          <w:sz w:val="20"/>
          <w:szCs w:val="20"/>
          <w:u w:val="single"/>
        </w:rPr>
        <w:t>Artikel 11 Vrijstellingen</w:t>
      </w:r>
    </w:p>
    <w:p w:rsidR="009A7846" w:rsidRPr="009A3A93" w:rsidRDefault="009A7846" w:rsidP="009A3A93">
      <w:pPr>
        <w:rPr>
          <w:rFonts w:ascii="Arial" w:hAnsi="Arial" w:cs="Arial"/>
          <w:sz w:val="20"/>
          <w:szCs w:val="20"/>
        </w:rPr>
      </w:pPr>
      <w:r w:rsidRPr="009A3A93">
        <w:rPr>
          <w:rFonts w:ascii="Arial" w:hAnsi="Arial" w:cs="Arial"/>
          <w:sz w:val="20"/>
          <w:szCs w:val="20"/>
        </w:rPr>
        <w:t xml:space="preserve">Het begrip openbare aankondiging is dermate veelomvattend dat aanleiding bestaat tot het in bepaalde gevallen hanteren van vrijstellingen. Om de perceptiekosten zo laag mogelijk te houden, worden aankondigingen die korter dan dertien weken aanwezig zijn, niet in de heffing betrokken. Indien echter sprake is van aankondigingen die afzonderlijk minder dan 13 weken aanwezig zijn, maar die opeenvolgend aanwezig zijn in een voor openbare aankondigingen geschikt gemaakte voorziening, dan worden deze wel gewoon in de belastingplicht meegenomen. Ook aankondigingen die uitsluitend als algemene bewegwijzering kunnen worden gekwalificeerd, zijn vrijgesteld. Uit efficiency overwegingen worden aankondigingen die door of namens de gemeente zijn gedaan, ter uitvoering van een publieke taak niet in de heffing betrokken, evenals aankondigingen die aanwezig zijn bij bouwterreinen en die betrekking hebben op de in uitvoering zijnde werkzaamheden. Tevens zijn aankondigingen die door of namens de </w:t>
      </w:r>
      <w:r w:rsidR="005363C8">
        <w:rPr>
          <w:rFonts w:ascii="Arial" w:hAnsi="Arial" w:cs="Arial"/>
          <w:sz w:val="20"/>
          <w:szCs w:val="20"/>
        </w:rPr>
        <w:t>S</w:t>
      </w:r>
      <w:r w:rsidRPr="009A3A93">
        <w:rPr>
          <w:rFonts w:ascii="Arial" w:hAnsi="Arial" w:cs="Arial"/>
          <w:sz w:val="20"/>
          <w:szCs w:val="20"/>
        </w:rPr>
        <w:t xml:space="preserve">tichting Ondernemersfonds </w:t>
      </w:r>
      <w:r w:rsidR="005363C8">
        <w:rPr>
          <w:rFonts w:ascii="Arial" w:hAnsi="Arial" w:cs="Arial"/>
          <w:sz w:val="20"/>
          <w:szCs w:val="20"/>
        </w:rPr>
        <w:t xml:space="preserve">Centrum </w:t>
      </w:r>
      <w:r w:rsidRPr="009A3A93">
        <w:rPr>
          <w:rFonts w:ascii="Arial" w:hAnsi="Arial" w:cs="Arial"/>
          <w:sz w:val="20"/>
          <w:szCs w:val="20"/>
        </w:rPr>
        <w:t xml:space="preserve">Geldermalsen zijn geplaatst en aankondigingen die door politieke partijen zijn aangebracht en die een ideëel belang dienen vrijgesteld. Borden die aanwezig zijn bij te koop of te huur staande onroerende zaken, mits deze in de onmiddellijke omgeving zijn geplaatst, worden eveneens buiten de heffing gelaten. Aankondigingen die door een makelaarskantoor worden gedaan bij hun eigen kantoor vallen niet onder deze vrijstelling. Tenslotte is tevens een vrijstelling opgenomen voor aankondigingen waarvan de gezamenlijke oppervlakte minder bedraagt dan 0,1 m2 (ca. 33 bij 33 centimeter). </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u w:val="single"/>
        </w:rPr>
      </w:pPr>
      <w:r w:rsidRPr="009A3A93">
        <w:rPr>
          <w:rFonts w:ascii="Arial" w:hAnsi="Arial" w:cs="Arial"/>
          <w:sz w:val="20"/>
          <w:szCs w:val="20"/>
          <w:u w:val="single"/>
        </w:rPr>
        <w:t>Artikel 12 Betalingstermijn</w:t>
      </w:r>
    </w:p>
    <w:p w:rsidR="009A7846" w:rsidRPr="009A3A93" w:rsidRDefault="009A7846" w:rsidP="009A3A93">
      <w:pPr>
        <w:rPr>
          <w:rFonts w:ascii="Arial" w:hAnsi="Arial" w:cs="Arial"/>
          <w:sz w:val="20"/>
          <w:szCs w:val="20"/>
        </w:rPr>
      </w:pPr>
      <w:r w:rsidRPr="009A3A93">
        <w:rPr>
          <w:rFonts w:ascii="Arial" w:hAnsi="Arial" w:cs="Arial"/>
          <w:sz w:val="20"/>
          <w:szCs w:val="20"/>
        </w:rPr>
        <w:t>De betaling is zo eenvoudig mogelijk geregeld en sluit aan bij de binnen de gemeente Geldermalsen gehanteerde gebruikelijke betalingstermijnen. De betaling dient in één termijn te geschieden, die één maand na de dagtekening van het aanslagbiljet vervalt.</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u w:val="single"/>
        </w:rPr>
      </w:pPr>
      <w:r w:rsidRPr="009A3A93">
        <w:rPr>
          <w:rFonts w:ascii="Arial" w:hAnsi="Arial" w:cs="Arial"/>
          <w:sz w:val="20"/>
          <w:szCs w:val="20"/>
          <w:u w:val="single"/>
        </w:rPr>
        <w:t>Artikel 13 Kwijtschelding</w:t>
      </w:r>
    </w:p>
    <w:p w:rsidR="009A7846" w:rsidRPr="009A3A93" w:rsidRDefault="009A7846" w:rsidP="009A3A93">
      <w:pPr>
        <w:rPr>
          <w:rFonts w:ascii="Arial" w:hAnsi="Arial" w:cs="Arial"/>
          <w:sz w:val="20"/>
          <w:szCs w:val="20"/>
        </w:rPr>
      </w:pPr>
      <w:r w:rsidRPr="009A3A93">
        <w:rPr>
          <w:rFonts w:ascii="Arial" w:hAnsi="Arial" w:cs="Arial"/>
          <w:sz w:val="20"/>
          <w:szCs w:val="20"/>
        </w:rPr>
        <w:t xml:space="preserve">Ter zake van de reclamebelasting wordt geen kwijtschelding verleend. </w:t>
      </w:r>
    </w:p>
    <w:p w:rsidR="009A7846" w:rsidRPr="009A3A93" w:rsidRDefault="009A7846" w:rsidP="009A3A93">
      <w:pPr>
        <w:rPr>
          <w:rFonts w:ascii="Arial" w:hAnsi="Arial" w:cs="Arial"/>
          <w:sz w:val="20"/>
          <w:szCs w:val="20"/>
        </w:rPr>
      </w:pPr>
    </w:p>
    <w:p w:rsidR="005363C8" w:rsidRDefault="005363C8" w:rsidP="009A3A93">
      <w:pPr>
        <w:rPr>
          <w:rFonts w:ascii="Arial" w:hAnsi="Arial" w:cs="Arial"/>
          <w:sz w:val="20"/>
          <w:szCs w:val="20"/>
          <w:u w:val="single"/>
        </w:rPr>
      </w:pPr>
    </w:p>
    <w:p w:rsidR="009A7846" w:rsidRPr="009A3A93" w:rsidRDefault="009A7846" w:rsidP="009A3A93">
      <w:pPr>
        <w:rPr>
          <w:rFonts w:ascii="Arial" w:hAnsi="Arial" w:cs="Arial"/>
          <w:sz w:val="20"/>
          <w:szCs w:val="20"/>
          <w:u w:val="single"/>
        </w:rPr>
      </w:pPr>
      <w:r w:rsidRPr="009A3A93">
        <w:rPr>
          <w:rFonts w:ascii="Arial" w:hAnsi="Arial" w:cs="Arial"/>
          <w:sz w:val="20"/>
          <w:szCs w:val="20"/>
          <w:u w:val="single"/>
        </w:rPr>
        <w:lastRenderedPageBreak/>
        <w:t>Artikel 14 Nadere regels</w:t>
      </w:r>
    </w:p>
    <w:p w:rsidR="009A7846" w:rsidRPr="009A3A93" w:rsidRDefault="009A7846" w:rsidP="009A3A93">
      <w:pPr>
        <w:rPr>
          <w:rFonts w:ascii="Arial" w:hAnsi="Arial" w:cs="Arial"/>
          <w:sz w:val="20"/>
          <w:szCs w:val="20"/>
        </w:rPr>
      </w:pPr>
      <w:r w:rsidRPr="009A3A93">
        <w:rPr>
          <w:rFonts w:ascii="Arial" w:hAnsi="Arial" w:cs="Arial"/>
          <w:sz w:val="20"/>
          <w:szCs w:val="20"/>
        </w:rPr>
        <w:t xml:space="preserve">Het college is bevoegd regelen te geven ter uitvoering van de verordening. </w:t>
      </w:r>
    </w:p>
    <w:p w:rsidR="005363C8" w:rsidRDefault="005363C8" w:rsidP="009A3A93">
      <w:pPr>
        <w:rPr>
          <w:rFonts w:ascii="Arial" w:hAnsi="Arial" w:cs="Arial"/>
          <w:sz w:val="20"/>
          <w:szCs w:val="20"/>
          <w:u w:val="single"/>
        </w:rPr>
      </w:pPr>
    </w:p>
    <w:p w:rsidR="009A7846" w:rsidRPr="009A3A93" w:rsidRDefault="009A7846" w:rsidP="009A3A93">
      <w:pPr>
        <w:rPr>
          <w:rFonts w:ascii="Arial" w:hAnsi="Arial" w:cs="Arial"/>
          <w:sz w:val="20"/>
          <w:szCs w:val="20"/>
          <w:u w:val="single"/>
        </w:rPr>
      </w:pPr>
      <w:r w:rsidRPr="009A3A93">
        <w:rPr>
          <w:rFonts w:ascii="Arial" w:hAnsi="Arial" w:cs="Arial"/>
          <w:sz w:val="20"/>
          <w:szCs w:val="20"/>
          <w:u w:val="single"/>
        </w:rPr>
        <w:t>Artikel 15 Inwerkingtreding</w:t>
      </w:r>
    </w:p>
    <w:p w:rsidR="005363C8" w:rsidRPr="005363C8" w:rsidRDefault="005363C8" w:rsidP="005363C8">
      <w:pPr>
        <w:rPr>
          <w:rFonts w:ascii="Arial" w:hAnsi="Arial" w:cs="Arial"/>
          <w:sz w:val="20"/>
          <w:szCs w:val="20"/>
        </w:rPr>
      </w:pPr>
      <w:r>
        <w:rPr>
          <w:rFonts w:ascii="Arial" w:hAnsi="Arial" w:cs="Arial"/>
          <w:sz w:val="20"/>
          <w:szCs w:val="20"/>
        </w:rPr>
        <w:t>In dit artikel is de inwerkingtreding van de verordening geregeld.</w:t>
      </w:r>
    </w:p>
    <w:p w:rsidR="005363C8" w:rsidRDefault="005363C8" w:rsidP="005363C8">
      <w:pPr>
        <w:rPr>
          <w:rFonts w:ascii="Arial" w:hAnsi="Arial" w:cs="Arial"/>
          <w:sz w:val="20"/>
          <w:szCs w:val="20"/>
          <w:u w:val="single"/>
        </w:rPr>
      </w:pPr>
    </w:p>
    <w:p w:rsidR="005363C8" w:rsidRPr="009A3A93" w:rsidRDefault="005363C8" w:rsidP="005363C8">
      <w:pPr>
        <w:rPr>
          <w:rFonts w:ascii="Arial" w:hAnsi="Arial" w:cs="Arial"/>
          <w:sz w:val="20"/>
          <w:szCs w:val="20"/>
          <w:u w:val="single"/>
        </w:rPr>
      </w:pPr>
      <w:r w:rsidRPr="009A3A93">
        <w:rPr>
          <w:rFonts w:ascii="Arial" w:hAnsi="Arial" w:cs="Arial"/>
          <w:sz w:val="20"/>
          <w:szCs w:val="20"/>
          <w:u w:val="single"/>
        </w:rPr>
        <w:t xml:space="preserve">Artikel 15 </w:t>
      </w:r>
      <w:r>
        <w:rPr>
          <w:rFonts w:ascii="Arial" w:hAnsi="Arial" w:cs="Arial"/>
          <w:sz w:val="20"/>
          <w:szCs w:val="20"/>
          <w:u w:val="single"/>
        </w:rPr>
        <w:t>Citeertitel</w:t>
      </w:r>
    </w:p>
    <w:p w:rsidR="009A7846" w:rsidRPr="009A3A93" w:rsidRDefault="009A7846" w:rsidP="009A3A93">
      <w:pPr>
        <w:rPr>
          <w:rFonts w:ascii="Arial" w:hAnsi="Arial" w:cs="Arial"/>
          <w:sz w:val="20"/>
          <w:szCs w:val="20"/>
        </w:rPr>
      </w:pPr>
      <w:r w:rsidRPr="009A3A93">
        <w:rPr>
          <w:rFonts w:ascii="Arial" w:hAnsi="Arial" w:cs="Arial"/>
          <w:sz w:val="20"/>
          <w:szCs w:val="20"/>
        </w:rPr>
        <w:t>In de</w:t>
      </w:r>
      <w:r w:rsidR="005363C8">
        <w:rPr>
          <w:rFonts w:ascii="Arial" w:hAnsi="Arial" w:cs="Arial"/>
          <w:sz w:val="20"/>
          <w:szCs w:val="20"/>
        </w:rPr>
        <w:t>ze</w:t>
      </w:r>
      <w:r w:rsidRPr="009A3A93">
        <w:rPr>
          <w:rFonts w:ascii="Arial" w:hAnsi="Arial" w:cs="Arial"/>
          <w:sz w:val="20"/>
          <w:szCs w:val="20"/>
        </w:rPr>
        <w:t xml:space="preserve"> slotbepaling is de citeertitel van de verordening geregeld.</w:t>
      </w:r>
    </w:p>
    <w:p w:rsidR="009A7846" w:rsidRPr="009A3A93" w:rsidRDefault="009A7846" w:rsidP="009A3A93">
      <w:pPr>
        <w:rPr>
          <w:rFonts w:ascii="Arial" w:hAnsi="Arial" w:cs="Arial"/>
          <w:sz w:val="20"/>
          <w:szCs w:val="20"/>
        </w:rPr>
      </w:pPr>
    </w:p>
    <w:p w:rsidR="009A7846" w:rsidRPr="009A3A93" w:rsidRDefault="009A7846" w:rsidP="009A3A93">
      <w:pPr>
        <w:rPr>
          <w:rFonts w:ascii="Arial" w:hAnsi="Arial" w:cs="Arial"/>
          <w:sz w:val="20"/>
          <w:szCs w:val="20"/>
        </w:rPr>
      </w:pPr>
    </w:p>
    <w:p w:rsidR="009A7846" w:rsidRDefault="009A7846" w:rsidP="009A3A93">
      <w:pPr>
        <w:rPr>
          <w:rFonts w:ascii="Arial" w:hAnsi="Arial" w:cs="Arial"/>
          <w:sz w:val="20"/>
          <w:szCs w:val="20"/>
        </w:rPr>
      </w:pPr>
    </w:p>
    <w:p w:rsidR="00304366" w:rsidRDefault="00304366" w:rsidP="009A3A93">
      <w:pPr>
        <w:rPr>
          <w:rFonts w:ascii="Arial" w:hAnsi="Arial" w:cs="Arial"/>
          <w:sz w:val="20"/>
          <w:szCs w:val="20"/>
        </w:rPr>
      </w:pPr>
    </w:p>
    <w:p w:rsidR="00645A3C" w:rsidRDefault="00304366" w:rsidP="009A3A9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Behoort bij raadsbesluit van 20 december 2016, nummer ???</w:t>
      </w:r>
    </w:p>
    <w:p w:rsidR="00304366" w:rsidRPr="009A3A93" w:rsidRDefault="00304366" w:rsidP="009A3A93">
      <w:pPr>
        <w:rPr>
          <w:rFonts w:ascii="Arial" w:hAnsi="Arial" w:cs="Arial"/>
          <w:sz w:val="20"/>
          <w:szCs w:val="20"/>
        </w:rPr>
      </w:pPr>
      <w:r>
        <w:rPr>
          <w:rFonts w:ascii="Arial" w:hAnsi="Arial" w:cs="Arial"/>
          <w:sz w:val="20"/>
          <w:szCs w:val="20"/>
        </w:rPr>
        <w:t xml:space="preserve">                                                   de griffier van de gemeente Geldermalsen,</w:t>
      </w:r>
    </w:p>
    <w:sectPr w:rsidR="00304366" w:rsidRPr="009A3A93" w:rsidSect="00265FEA">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EF6" w:rsidRDefault="00A24EF6">
      <w:r>
        <w:separator/>
      </w:r>
    </w:p>
  </w:endnote>
  <w:endnote w:type="continuationSeparator" w:id="0">
    <w:p w:rsidR="00A24EF6" w:rsidRDefault="00A24EF6">
      <w:r>
        <w:continuationSeparator/>
      </w:r>
    </w:p>
  </w:endnote>
  <w:endnote w:type="continuationNotice" w:id="1">
    <w:p w:rsidR="00A24EF6" w:rsidRDefault="00A24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46" w:rsidRDefault="009A7846" w:rsidP="00E37CF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A7846" w:rsidRDefault="009A7846" w:rsidP="006A2C3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46" w:rsidRPr="00936C02" w:rsidRDefault="009A7846" w:rsidP="00E37CF4">
    <w:pPr>
      <w:pStyle w:val="Voettekst"/>
      <w:framePr w:wrap="around" w:vAnchor="text" w:hAnchor="margin" w:xAlign="right" w:y="1"/>
      <w:rPr>
        <w:rStyle w:val="Paginanummer"/>
        <w:rFonts w:ascii="Arial" w:hAnsi="Arial" w:cs="Arial"/>
        <w:sz w:val="18"/>
        <w:szCs w:val="18"/>
      </w:rPr>
    </w:pPr>
    <w:r w:rsidRPr="00936C02">
      <w:rPr>
        <w:rStyle w:val="Paginanummer"/>
        <w:rFonts w:ascii="Arial" w:hAnsi="Arial" w:cs="Arial"/>
        <w:sz w:val="18"/>
        <w:szCs w:val="18"/>
      </w:rPr>
      <w:fldChar w:fldCharType="begin"/>
    </w:r>
    <w:r w:rsidRPr="00936C02">
      <w:rPr>
        <w:rStyle w:val="Paginanummer"/>
        <w:rFonts w:ascii="Arial" w:hAnsi="Arial" w:cs="Arial"/>
        <w:sz w:val="18"/>
        <w:szCs w:val="18"/>
      </w:rPr>
      <w:instrText xml:space="preserve">PAGE  </w:instrText>
    </w:r>
    <w:r w:rsidRPr="00936C02">
      <w:rPr>
        <w:rStyle w:val="Paginanummer"/>
        <w:rFonts w:ascii="Arial" w:hAnsi="Arial" w:cs="Arial"/>
        <w:sz w:val="18"/>
        <w:szCs w:val="18"/>
      </w:rPr>
      <w:fldChar w:fldCharType="separate"/>
    </w:r>
    <w:r w:rsidR="00CD5322">
      <w:rPr>
        <w:rStyle w:val="Paginanummer"/>
        <w:rFonts w:ascii="Arial" w:hAnsi="Arial" w:cs="Arial"/>
        <w:noProof/>
        <w:sz w:val="18"/>
        <w:szCs w:val="18"/>
      </w:rPr>
      <w:t>5</w:t>
    </w:r>
    <w:r w:rsidRPr="00936C02">
      <w:rPr>
        <w:rStyle w:val="Paginanummer"/>
        <w:rFonts w:ascii="Arial" w:hAnsi="Arial" w:cs="Arial"/>
        <w:sz w:val="18"/>
        <w:szCs w:val="18"/>
      </w:rPr>
      <w:fldChar w:fldCharType="end"/>
    </w:r>
  </w:p>
  <w:p w:rsidR="009A7846" w:rsidRPr="00936C02" w:rsidRDefault="009A7846" w:rsidP="006A2C35">
    <w:pPr>
      <w:pStyle w:val="Voettekst"/>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EF6" w:rsidRDefault="00A24EF6">
      <w:r>
        <w:separator/>
      </w:r>
    </w:p>
  </w:footnote>
  <w:footnote w:type="continuationSeparator" w:id="0">
    <w:p w:rsidR="00A24EF6" w:rsidRDefault="00A24EF6">
      <w:r>
        <w:continuationSeparator/>
      </w:r>
    </w:p>
  </w:footnote>
  <w:footnote w:type="continuationNotice" w:id="1">
    <w:p w:rsidR="00A24EF6" w:rsidRDefault="00A24E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46" w:rsidRDefault="009A78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823"/>
    <w:multiLevelType w:val="hybridMultilevel"/>
    <w:tmpl w:val="68C6DAF6"/>
    <w:lvl w:ilvl="0" w:tplc="219EF76E">
      <w:start w:val="1"/>
      <w:numFmt w:val="lowerLetter"/>
      <w:lvlText w:val="%1."/>
      <w:lvlJc w:val="left"/>
      <w:pPr>
        <w:tabs>
          <w:tab w:val="num" w:pos="1065"/>
        </w:tabs>
        <w:ind w:left="1065" w:hanging="705"/>
      </w:pPr>
      <w:rPr>
        <w:rFonts w:cs="Times New Roman" w:hint="default"/>
      </w:rPr>
    </w:lvl>
    <w:lvl w:ilvl="1" w:tplc="C6DA2386">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7C20E6"/>
    <w:multiLevelType w:val="multilevel"/>
    <w:tmpl w:val="4BA0885C"/>
    <w:lvl w:ilvl="0">
      <w:start w:val="1"/>
      <w:numFmt w:val="upp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98F61DB"/>
    <w:multiLevelType w:val="multilevel"/>
    <w:tmpl w:val="68C6DAF6"/>
    <w:lvl w:ilvl="0">
      <w:start w:val="1"/>
      <w:numFmt w:val="lowerLetter"/>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9D55040"/>
    <w:multiLevelType w:val="hybridMultilevel"/>
    <w:tmpl w:val="CA188116"/>
    <w:lvl w:ilvl="0" w:tplc="325A2CCC">
      <w:start w:val="1"/>
      <w:numFmt w:val="upperRoman"/>
      <w:lvlText w:val="%1."/>
      <w:lvlJc w:val="left"/>
      <w:pPr>
        <w:tabs>
          <w:tab w:val="num" w:pos="1134"/>
        </w:tabs>
        <w:ind w:left="1134" w:hanging="41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57199A"/>
    <w:multiLevelType w:val="multilevel"/>
    <w:tmpl w:val="68C6DAF6"/>
    <w:lvl w:ilvl="0">
      <w:start w:val="1"/>
      <w:numFmt w:val="lowerLetter"/>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0F23872"/>
    <w:multiLevelType w:val="hybridMultilevel"/>
    <w:tmpl w:val="767C062E"/>
    <w:lvl w:ilvl="0" w:tplc="EB5CB15C">
      <w:start w:val="1"/>
      <w:numFmt w:val="lowerLetter"/>
      <w:lvlText w:val="%1."/>
      <w:lvlJc w:val="left"/>
      <w:pPr>
        <w:tabs>
          <w:tab w:val="num" w:pos="709"/>
        </w:tabs>
        <w:ind w:left="709" w:hanging="349"/>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6C2B24"/>
    <w:multiLevelType w:val="hybridMultilevel"/>
    <w:tmpl w:val="89120BDE"/>
    <w:lvl w:ilvl="0" w:tplc="325A2CCC">
      <w:start w:val="1"/>
      <w:numFmt w:val="upperRoman"/>
      <w:lvlText w:val="%1."/>
      <w:lvlJc w:val="left"/>
      <w:pPr>
        <w:tabs>
          <w:tab w:val="num" w:pos="1134"/>
        </w:tabs>
        <w:ind w:left="1134" w:hanging="414"/>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93C3687"/>
    <w:multiLevelType w:val="hybridMultilevel"/>
    <w:tmpl w:val="36C6BE0A"/>
    <w:lvl w:ilvl="0" w:tplc="40DA3C70">
      <w:start w:val="1"/>
      <w:numFmt w:val="lowerLetter"/>
      <w:lvlText w:val="%1."/>
      <w:lvlJc w:val="left"/>
      <w:pPr>
        <w:tabs>
          <w:tab w:val="num" w:pos="737"/>
        </w:tabs>
        <w:ind w:left="737" w:hanging="37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DE4AFF"/>
    <w:multiLevelType w:val="hybridMultilevel"/>
    <w:tmpl w:val="9D347FB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497E29"/>
    <w:multiLevelType w:val="multilevel"/>
    <w:tmpl w:val="B1DAA1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4D5676F"/>
    <w:multiLevelType w:val="hybridMultilevel"/>
    <w:tmpl w:val="C676349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796212"/>
    <w:multiLevelType w:val="multilevel"/>
    <w:tmpl w:val="36C6BE0A"/>
    <w:lvl w:ilvl="0">
      <w:start w:val="1"/>
      <w:numFmt w:val="lowerLetter"/>
      <w:lvlText w:val="%1."/>
      <w:lvlJc w:val="left"/>
      <w:pPr>
        <w:tabs>
          <w:tab w:val="num" w:pos="737"/>
        </w:tabs>
        <w:ind w:left="737" w:hanging="37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4142B4"/>
    <w:multiLevelType w:val="hybridMultilevel"/>
    <w:tmpl w:val="70DC26E2"/>
    <w:lvl w:ilvl="0" w:tplc="6A443C42">
      <w:start w:val="1"/>
      <w:numFmt w:val="lowerLetter"/>
      <w:lvlText w:val="%1."/>
      <w:lvlJc w:val="left"/>
      <w:pPr>
        <w:tabs>
          <w:tab w:val="num" w:pos="851"/>
        </w:tabs>
        <w:ind w:left="851" w:hanging="491"/>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5A1103"/>
    <w:multiLevelType w:val="hybridMultilevel"/>
    <w:tmpl w:val="B9D6FEDE"/>
    <w:lvl w:ilvl="0" w:tplc="70F29192">
      <w:start w:val="1"/>
      <w:numFmt w:val="lowerLetter"/>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0D554B"/>
    <w:multiLevelType w:val="multilevel"/>
    <w:tmpl w:val="89120BDE"/>
    <w:lvl w:ilvl="0">
      <w:start w:val="1"/>
      <w:numFmt w:val="upperRoman"/>
      <w:lvlText w:val="%1."/>
      <w:lvlJc w:val="left"/>
      <w:pPr>
        <w:tabs>
          <w:tab w:val="num" w:pos="1134"/>
        </w:tabs>
        <w:ind w:left="1134" w:hanging="414"/>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15:restartNumberingAfterBreak="0">
    <w:nsid w:val="727B3871"/>
    <w:multiLevelType w:val="multilevel"/>
    <w:tmpl w:val="70DC26E2"/>
    <w:lvl w:ilvl="0">
      <w:start w:val="1"/>
      <w:numFmt w:val="lowerLetter"/>
      <w:lvlText w:val="%1."/>
      <w:lvlJc w:val="left"/>
      <w:pPr>
        <w:tabs>
          <w:tab w:val="num" w:pos="851"/>
        </w:tabs>
        <w:ind w:left="851" w:hanging="491"/>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0"/>
  </w:num>
  <w:num w:numId="4">
    <w:abstractNumId w:val="6"/>
  </w:num>
  <w:num w:numId="5">
    <w:abstractNumId w:val="1"/>
  </w:num>
  <w:num w:numId="6">
    <w:abstractNumId w:val="3"/>
  </w:num>
  <w:num w:numId="7">
    <w:abstractNumId w:val="9"/>
  </w:num>
  <w:num w:numId="8">
    <w:abstractNumId w:val="4"/>
  </w:num>
  <w:num w:numId="9">
    <w:abstractNumId w:val="13"/>
  </w:num>
  <w:num w:numId="10">
    <w:abstractNumId w:val="2"/>
  </w:num>
  <w:num w:numId="11">
    <w:abstractNumId w:val="12"/>
  </w:num>
  <w:num w:numId="12">
    <w:abstractNumId w:val="14"/>
  </w:num>
  <w:num w:numId="13">
    <w:abstractNumId w:val="15"/>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9CF"/>
    <w:rsid w:val="00000CDB"/>
    <w:rsid w:val="00006BD5"/>
    <w:rsid w:val="00010E19"/>
    <w:rsid w:val="00035CA7"/>
    <w:rsid w:val="00047ADC"/>
    <w:rsid w:val="00053DC2"/>
    <w:rsid w:val="00061B6B"/>
    <w:rsid w:val="00063569"/>
    <w:rsid w:val="0006625A"/>
    <w:rsid w:val="000709D1"/>
    <w:rsid w:val="000841CF"/>
    <w:rsid w:val="00085026"/>
    <w:rsid w:val="000925E4"/>
    <w:rsid w:val="00096A46"/>
    <w:rsid w:val="000A4027"/>
    <w:rsid w:val="000A6939"/>
    <w:rsid w:val="000B0381"/>
    <w:rsid w:val="000B6F4A"/>
    <w:rsid w:val="000C1936"/>
    <w:rsid w:val="000C2247"/>
    <w:rsid w:val="000D180A"/>
    <w:rsid w:val="000D5A50"/>
    <w:rsid w:val="000D66DB"/>
    <w:rsid w:val="000D6B19"/>
    <w:rsid w:val="00100031"/>
    <w:rsid w:val="00100C9E"/>
    <w:rsid w:val="00101047"/>
    <w:rsid w:val="00105BED"/>
    <w:rsid w:val="001128C9"/>
    <w:rsid w:val="0012035D"/>
    <w:rsid w:val="00135752"/>
    <w:rsid w:val="001445CD"/>
    <w:rsid w:val="0014502E"/>
    <w:rsid w:val="00150957"/>
    <w:rsid w:val="00153C53"/>
    <w:rsid w:val="00160DD8"/>
    <w:rsid w:val="00170A57"/>
    <w:rsid w:val="00177BD1"/>
    <w:rsid w:val="00182C90"/>
    <w:rsid w:val="00187CC7"/>
    <w:rsid w:val="00187DB4"/>
    <w:rsid w:val="001A4C92"/>
    <w:rsid w:val="001C3C8B"/>
    <w:rsid w:val="001D1337"/>
    <w:rsid w:val="001D5A1C"/>
    <w:rsid w:val="001D6BA3"/>
    <w:rsid w:val="001F2367"/>
    <w:rsid w:val="001F2BB8"/>
    <w:rsid w:val="001F4AFA"/>
    <w:rsid w:val="001F71C3"/>
    <w:rsid w:val="002002CF"/>
    <w:rsid w:val="0020488B"/>
    <w:rsid w:val="002144B9"/>
    <w:rsid w:val="00216F9F"/>
    <w:rsid w:val="002252E7"/>
    <w:rsid w:val="00227488"/>
    <w:rsid w:val="00230993"/>
    <w:rsid w:val="00232101"/>
    <w:rsid w:val="00236852"/>
    <w:rsid w:val="00236CE4"/>
    <w:rsid w:val="0024667F"/>
    <w:rsid w:val="00252604"/>
    <w:rsid w:val="00256139"/>
    <w:rsid w:val="00265B31"/>
    <w:rsid w:val="00265FEA"/>
    <w:rsid w:val="00270736"/>
    <w:rsid w:val="00271F02"/>
    <w:rsid w:val="00293325"/>
    <w:rsid w:val="00296A49"/>
    <w:rsid w:val="00297123"/>
    <w:rsid w:val="002A04CF"/>
    <w:rsid w:val="002A4EE3"/>
    <w:rsid w:val="002A71FD"/>
    <w:rsid w:val="002B209A"/>
    <w:rsid w:val="002B57A6"/>
    <w:rsid w:val="002B7033"/>
    <w:rsid w:val="002C30BC"/>
    <w:rsid w:val="002C41C3"/>
    <w:rsid w:val="002E0149"/>
    <w:rsid w:val="002E59C8"/>
    <w:rsid w:val="002F7159"/>
    <w:rsid w:val="00303E05"/>
    <w:rsid w:val="00304366"/>
    <w:rsid w:val="0031571F"/>
    <w:rsid w:val="00334E49"/>
    <w:rsid w:val="00335C03"/>
    <w:rsid w:val="00337373"/>
    <w:rsid w:val="00346331"/>
    <w:rsid w:val="00353164"/>
    <w:rsid w:val="00353204"/>
    <w:rsid w:val="00360357"/>
    <w:rsid w:val="00375407"/>
    <w:rsid w:val="003816B2"/>
    <w:rsid w:val="0038244C"/>
    <w:rsid w:val="0039092B"/>
    <w:rsid w:val="003919BB"/>
    <w:rsid w:val="00395D2E"/>
    <w:rsid w:val="003A38EA"/>
    <w:rsid w:val="003A6FE2"/>
    <w:rsid w:val="003B2252"/>
    <w:rsid w:val="003B6BE2"/>
    <w:rsid w:val="003C036F"/>
    <w:rsid w:val="003C13A9"/>
    <w:rsid w:val="003C3C9C"/>
    <w:rsid w:val="003C6953"/>
    <w:rsid w:val="003D3213"/>
    <w:rsid w:val="003E01C7"/>
    <w:rsid w:val="003E77B6"/>
    <w:rsid w:val="00401E5F"/>
    <w:rsid w:val="00402D75"/>
    <w:rsid w:val="0040572D"/>
    <w:rsid w:val="00437FC1"/>
    <w:rsid w:val="004462FF"/>
    <w:rsid w:val="0045174C"/>
    <w:rsid w:val="00451B05"/>
    <w:rsid w:val="00461BCF"/>
    <w:rsid w:val="004658E9"/>
    <w:rsid w:val="00470A74"/>
    <w:rsid w:val="0047253F"/>
    <w:rsid w:val="00472CB6"/>
    <w:rsid w:val="0047508E"/>
    <w:rsid w:val="004840F2"/>
    <w:rsid w:val="00484103"/>
    <w:rsid w:val="004874D4"/>
    <w:rsid w:val="0048769A"/>
    <w:rsid w:val="00491660"/>
    <w:rsid w:val="00493EE7"/>
    <w:rsid w:val="004945CC"/>
    <w:rsid w:val="004950DE"/>
    <w:rsid w:val="004A6C2D"/>
    <w:rsid w:val="004B2B49"/>
    <w:rsid w:val="004C38EA"/>
    <w:rsid w:val="004D16A9"/>
    <w:rsid w:val="004D2ED7"/>
    <w:rsid w:val="004D61AB"/>
    <w:rsid w:val="004E58FA"/>
    <w:rsid w:val="004E67AD"/>
    <w:rsid w:val="004F0C89"/>
    <w:rsid w:val="00502436"/>
    <w:rsid w:val="00504B4B"/>
    <w:rsid w:val="00505E0F"/>
    <w:rsid w:val="005077E3"/>
    <w:rsid w:val="00515F09"/>
    <w:rsid w:val="0051754F"/>
    <w:rsid w:val="00525D6F"/>
    <w:rsid w:val="00531767"/>
    <w:rsid w:val="005363C8"/>
    <w:rsid w:val="0053699E"/>
    <w:rsid w:val="005442FD"/>
    <w:rsid w:val="005602AE"/>
    <w:rsid w:val="00563227"/>
    <w:rsid w:val="00570D73"/>
    <w:rsid w:val="005715FA"/>
    <w:rsid w:val="005874F3"/>
    <w:rsid w:val="005C177F"/>
    <w:rsid w:val="00606EE9"/>
    <w:rsid w:val="00612CBF"/>
    <w:rsid w:val="00612EA1"/>
    <w:rsid w:val="00614014"/>
    <w:rsid w:val="00617FAA"/>
    <w:rsid w:val="00623606"/>
    <w:rsid w:val="00625ECD"/>
    <w:rsid w:val="00631BF5"/>
    <w:rsid w:val="0063210C"/>
    <w:rsid w:val="00645A3C"/>
    <w:rsid w:val="0064685B"/>
    <w:rsid w:val="00653C5B"/>
    <w:rsid w:val="006567B7"/>
    <w:rsid w:val="00667604"/>
    <w:rsid w:val="006831F8"/>
    <w:rsid w:val="00694D0E"/>
    <w:rsid w:val="00694D80"/>
    <w:rsid w:val="006A2C35"/>
    <w:rsid w:val="006A4C1C"/>
    <w:rsid w:val="006B5614"/>
    <w:rsid w:val="006B737D"/>
    <w:rsid w:val="006C0242"/>
    <w:rsid w:val="006C447F"/>
    <w:rsid w:val="006D03FC"/>
    <w:rsid w:val="006D76FB"/>
    <w:rsid w:val="006E094A"/>
    <w:rsid w:val="006E0D3D"/>
    <w:rsid w:val="006E193D"/>
    <w:rsid w:val="006E4F17"/>
    <w:rsid w:val="006E6F48"/>
    <w:rsid w:val="006F17F6"/>
    <w:rsid w:val="006F7B53"/>
    <w:rsid w:val="00713938"/>
    <w:rsid w:val="00716C07"/>
    <w:rsid w:val="00721030"/>
    <w:rsid w:val="0072163B"/>
    <w:rsid w:val="00724B5F"/>
    <w:rsid w:val="00726FB7"/>
    <w:rsid w:val="007323BA"/>
    <w:rsid w:val="00736F21"/>
    <w:rsid w:val="007379D6"/>
    <w:rsid w:val="007441D8"/>
    <w:rsid w:val="00750350"/>
    <w:rsid w:val="00753778"/>
    <w:rsid w:val="00761953"/>
    <w:rsid w:val="00762C22"/>
    <w:rsid w:val="00762C6C"/>
    <w:rsid w:val="0076717E"/>
    <w:rsid w:val="00793208"/>
    <w:rsid w:val="007935CE"/>
    <w:rsid w:val="00793EF3"/>
    <w:rsid w:val="007A1F93"/>
    <w:rsid w:val="007A39C9"/>
    <w:rsid w:val="007B21A5"/>
    <w:rsid w:val="007B4F14"/>
    <w:rsid w:val="007C0947"/>
    <w:rsid w:val="007C401A"/>
    <w:rsid w:val="007C5EDB"/>
    <w:rsid w:val="007D0880"/>
    <w:rsid w:val="007D0922"/>
    <w:rsid w:val="007D7F97"/>
    <w:rsid w:val="007F515C"/>
    <w:rsid w:val="0080258F"/>
    <w:rsid w:val="008265C3"/>
    <w:rsid w:val="00847221"/>
    <w:rsid w:val="00847476"/>
    <w:rsid w:val="00847ADC"/>
    <w:rsid w:val="0085416F"/>
    <w:rsid w:val="008541E0"/>
    <w:rsid w:val="0085791C"/>
    <w:rsid w:val="00867EB2"/>
    <w:rsid w:val="0087766B"/>
    <w:rsid w:val="008810BB"/>
    <w:rsid w:val="008870F2"/>
    <w:rsid w:val="00895544"/>
    <w:rsid w:val="008A577F"/>
    <w:rsid w:val="008A5C34"/>
    <w:rsid w:val="008B1F4A"/>
    <w:rsid w:val="008B69F8"/>
    <w:rsid w:val="008C3E81"/>
    <w:rsid w:val="008C5785"/>
    <w:rsid w:val="008D07AB"/>
    <w:rsid w:val="008D4BA5"/>
    <w:rsid w:val="008E0103"/>
    <w:rsid w:val="008E3EED"/>
    <w:rsid w:val="008E447A"/>
    <w:rsid w:val="008E641E"/>
    <w:rsid w:val="008E7936"/>
    <w:rsid w:val="0091198C"/>
    <w:rsid w:val="00917538"/>
    <w:rsid w:val="00921994"/>
    <w:rsid w:val="00923C00"/>
    <w:rsid w:val="00931B23"/>
    <w:rsid w:val="00936C02"/>
    <w:rsid w:val="00952EE6"/>
    <w:rsid w:val="00961C13"/>
    <w:rsid w:val="009730DA"/>
    <w:rsid w:val="009811B8"/>
    <w:rsid w:val="00981937"/>
    <w:rsid w:val="009942AF"/>
    <w:rsid w:val="00997E19"/>
    <w:rsid w:val="009A08FF"/>
    <w:rsid w:val="009A3A93"/>
    <w:rsid w:val="009A3D42"/>
    <w:rsid w:val="009A7846"/>
    <w:rsid w:val="009C260C"/>
    <w:rsid w:val="009E27D9"/>
    <w:rsid w:val="009E5929"/>
    <w:rsid w:val="009E775A"/>
    <w:rsid w:val="009F78E0"/>
    <w:rsid w:val="009F7978"/>
    <w:rsid w:val="00A05EE2"/>
    <w:rsid w:val="00A11C1A"/>
    <w:rsid w:val="00A11D2A"/>
    <w:rsid w:val="00A13D7E"/>
    <w:rsid w:val="00A154CC"/>
    <w:rsid w:val="00A227C7"/>
    <w:rsid w:val="00A24EF6"/>
    <w:rsid w:val="00A44301"/>
    <w:rsid w:val="00A46925"/>
    <w:rsid w:val="00A52C02"/>
    <w:rsid w:val="00A6362E"/>
    <w:rsid w:val="00A74F62"/>
    <w:rsid w:val="00A77221"/>
    <w:rsid w:val="00A9051A"/>
    <w:rsid w:val="00A915B9"/>
    <w:rsid w:val="00A92487"/>
    <w:rsid w:val="00A92E31"/>
    <w:rsid w:val="00A9354D"/>
    <w:rsid w:val="00AA785B"/>
    <w:rsid w:val="00AB1187"/>
    <w:rsid w:val="00AB44C0"/>
    <w:rsid w:val="00AB4F02"/>
    <w:rsid w:val="00AB4F9B"/>
    <w:rsid w:val="00AC3875"/>
    <w:rsid w:val="00AC5228"/>
    <w:rsid w:val="00AC681C"/>
    <w:rsid w:val="00AD728C"/>
    <w:rsid w:val="00AE6DF5"/>
    <w:rsid w:val="00AE76F2"/>
    <w:rsid w:val="00AF03C0"/>
    <w:rsid w:val="00B0198E"/>
    <w:rsid w:val="00B02141"/>
    <w:rsid w:val="00B03596"/>
    <w:rsid w:val="00B25F1A"/>
    <w:rsid w:val="00B41344"/>
    <w:rsid w:val="00B55AB0"/>
    <w:rsid w:val="00B56A24"/>
    <w:rsid w:val="00B60475"/>
    <w:rsid w:val="00B63960"/>
    <w:rsid w:val="00B81A5F"/>
    <w:rsid w:val="00B82E78"/>
    <w:rsid w:val="00B85E01"/>
    <w:rsid w:val="00B9122C"/>
    <w:rsid w:val="00B91967"/>
    <w:rsid w:val="00B94DCD"/>
    <w:rsid w:val="00B960AC"/>
    <w:rsid w:val="00BA15D8"/>
    <w:rsid w:val="00BB756A"/>
    <w:rsid w:val="00BC22B5"/>
    <w:rsid w:val="00BC4CE5"/>
    <w:rsid w:val="00BD64BA"/>
    <w:rsid w:val="00BE0B78"/>
    <w:rsid w:val="00BE109D"/>
    <w:rsid w:val="00BE299C"/>
    <w:rsid w:val="00BF1B6F"/>
    <w:rsid w:val="00BF2731"/>
    <w:rsid w:val="00C01678"/>
    <w:rsid w:val="00C019A9"/>
    <w:rsid w:val="00C02962"/>
    <w:rsid w:val="00C03F6E"/>
    <w:rsid w:val="00C07582"/>
    <w:rsid w:val="00C10D27"/>
    <w:rsid w:val="00C168E3"/>
    <w:rsid w:val="00C170ED"/>
    <w:rsid w:val="00C219CF"/>
    <w:rsid w:val="00C24C7B"/>
    <w:rsid w:val="00C26323"/>
    <w:rsid w:val="00C303FD"/>
    <w:rsid w:val="00C33D25"/>
    <w:rsid w:val="00C33E59"/>
    <w:rsid w:val="00C36F01"/>
    <w:rsid w:val="00C44E2C"/>
    <w:rsid w:val="00C463DD"/>
    <w:rsid w:val="00C47697"/>
    <w:rsid w:val="00C508B1"/>
    <w:rsid w:val="00C52B4A"/>
    <w:rsid w:val="00C60ED3"/>
    <w:rsid w:val="00C6510B"/>
    <w:rsid w:val="00C723E1"/>
    <w:rsid w:val="00C7259E"/>
    <w:rsid w:val="00C80524"/>
    <w:rsid w:val="00C83E30"/>
    <w:rsid w:val="00C868B5"/>
    <w:rsid w:val="00C92550"/>
    <w:rsid w:val="00C95CBE"/>
    <w:rsid w:val="00CA2559"/>
    <w:rsid w:val="00CB0E2B"/>
    <w:rsid w:val="00CB2423"/>
    <w:rsid w:val="00CB60CF"/>
    <w:rsid w:val="00CC317A"/>
    <w:rsid w:val="00CC6D2B"/>
    <w:rsid w:val="00CD0436"/>
    <w:rsid w:val="00CD2283"/>
    <w:rsid w:val="00CD320F"/>
    <w:rsid w:val="00CD3A96"/>
    <w:rsid w:val="00CD5114"/>
    <w:rsid w:val="00CD5322"/>
    <w:rsid w:val="00CD74C4"/>
    <w:rsid w:val="00CE7134"/>
    <w:rsid w:val="00CE7A3A"/>
    <w:rsid w:val="00CF76F0"/>
    <w:rsid w:val="00D12B16"/>
    <w:rsid w:val="00D142E0"/>
    <w:rsid w:val="00D14FE1"/>
    <w:rsid w:val="00D17CEE"/>
    <w:rsid w:val="00D24AD4"/>
    <w:rsid w:val="00D25C05"/>
    <w:rsid w:val="00D30646"/>
    <w:rsid w:val="00D31A6A"/>
    <w:rsid w:val="00D31DC2"/>
    <w:rsid w:val="00D40295"/>
    <w:rsid w:val="00D41A09"/>
    <w:rsid w:val="00D52F4E"/>
    <w:rsid w:val="00D60302"/>
    <w:rsid w:val="00D65E47"/>
    <w:rsid w:val="00D74D26"/>
    <w:rsid w:val="00D802DC"/>
    <w:rsid w:val="00D82593"/>
    <w:rsid w:val="00D82F46"/>
    <w:rsid w:val="00D938E4"/>
    <w:rsid w:val="00DA6B1C"/>
    <w:rsid w:val="00DB1158"/>
    <w:rsid w:val="00DD3533"/>
    <w:rsid w:val="00DD51DB"/>
    <w:rsid w:val="00DE170D"/>
    <w:rsid w:val="00DF2742"/>
    <w:rsid w:val="00DF7ED2"/>
    <w:rsid w:val="00E03A2D"/>
    <w:rsid w:val="00E12C4F"/>
    <w:rsid w:val="00E23974"/>
    <w:rsid w:val="00E36BBA"/>
    <w:rsid w:val="00E37CF4"/>
    <w:rsid w:val="00E432D7"/>
    <w:rsid w:val="00E4553F"/>
    <w:rsid w:val="00E578C9"/>
    <w:rsid w:val="00E763D2"/>
    <w:rsid w:val="00E76EB9"/>
    <w:rsid w:val="00E849D1"/>
    <w:rsid w:val="00E85720"/>
    <w:rsid w:val="00E86F4C"/>
    <w:rsid w:val="00EB5B91"/>
    <w:rsid w:val="00EB6BA0"/>
    <w:rsid w:val="00EB6CEA"/>
    <w:rsid w:val="00EC2930"/>
    <w:rsid w:val="00EC7208"/>
    <w:rsid w:val="00ED656C"/>
    <w:rsid w:val="00ED662C"/>
    <w:rsid w:val="00EE0943"/>
    <w:rsid w:val="00EE1D29"/>
    <w:rsid w:val="00EE4385"/>
    <w:rsid w:val="00EE4679"/>
    <w:rsid w:val="00EE5EB4"/>
    <w:rsid w:val="00EF05F6"/>
    <w:rsid w:val="00EF0C48"/>
    <w:rsid w:val="00EF2B52"/>
    <w:rsid w:val="00EF39CB"/>
    <w:rsid w:val="00EF797C"/>
    <w:rsid w:val="00F00AB3"/>
    <w:rsid w:val="00F01D58"/>
    <w:rsid w:val="00F0477F"/>
    <w:rsid w:val="00F066C5"/>
    <w:rsid w:val="00F42241"/>
    <w:rsid w:val="00F51674"/>
    <w:rsid w:val="00F56775"/>
    <w:rsid w:val="00F62130"/>
    <w:rsid w:val="00F74059"/>
    <w:rsid w:val="00F74364"/>
    <w:rsid w:val="00F826A1"/>
    <w:rsid w:val="00F82942"/>
    <w:rsid w:val="00F8785B"/>
    <w:rsid w:val="00FA2C61"/>
    <w:rsid w:val="00FA603B"/>
    <w:rsid w:val="00FB403B"/>
    <w:rsid w:val="00FB7E20"/>
    <w:rsid w:val="00FC6862"/>
    <w:rsid w:val="00FD0E8F"/>
    <w:rsid w:val="00FD4FFF"/>
    <w:rsid w:val="00FD785C"/>
    <w:rsid w:val="00FE22EE"/>
    <w:rsid w:val="00FE7BC0"/>
    <w:rsid w:val="00FF7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CFAF01-4A11-41CA-BCD7-30647B38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19CF"/>
    <w:rPr>
      <w:sz w:val="24"/>
      <w:szCs w:val="24"/>
    </w:rPr>
  </w:style>
  <w:style w:type="paragraph" w:styleId="Kop1">
    <w:name w:val="heading 1"/>
    <w:basedOn w:val="Standaard"/>
    <w:next w:val="Standaard"/>
    <w:qFormat/>
    <w:rsid w:val="00C219CF"/>
    <w:pPr>
      <w:keepNext/>
      <w:outlineLvl w:val="0"/>
    </w:pPr>
    <w:rPr>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sid w:val="00C219CF"/>
    <w:rPr>
      <w:rFonts w:ascii="Verdana" w:hAnsi="Verdana"/>
      <w:sz w:val="20"/>
    </w:rPr>
  </w:style>
  <w:style w:type="character" w:styleId="Hyperlink">
    <w:name w:val="Hyperlink"/>
    <w:rsid w:val="00360357"/>
    <w:rPr>
      <w:color w:val="0000FF"/>
      <w:u w:val="single"/>
    </w:rPr>
  </w:style>
  <w:style w:type="paragraph" w:styleId="Voetnoottekst">
    <w:name w:val="footnote text"/>
    <w:basedOn w:val="Standaard"/>
    <w:semiHidden/>
    <w:rsid w:val="00847221"/>
    <w:rPr>
      <w:rFonts w:ascii="CG Times (W1)" w:hAnsi="CG Times (W1)"/>
      <w:sz w:val="20"/>
      <w:szCs w:val="20"/>
      <w:lang w:val="en-US"/>
    </w:rPr>
  </w:style>
  <w:style w:type="character" w:styleId="Voetnootmarkering">
    <w:name w:val="footnote reference"/>
    <w:semiHidden/>
    <w:rsid w:val="00847221"/>
    <w:rPr>
      <w:vertAlign w:val="superscript"/>
    </w:rPr>
  </w:style>
  <w:style w:type="character" w:customStyle="1" w:styleId="tdefaulttboldh18">
    <w:name w:val="t_default t_bold h_18"/>
    <w:rsid w:val="001128C9"/>
    <w:rPr>
      <w:rFonts w:cs="Times New Roman"/>
    </w:rPr>
  </w:style>
  <w:style w:type="character" w:customStyle="1" w:styleId="tdefaulth18">
    <w:name w:val="t_default h_18"/>
    <w:rsid w:val="00667604"/>
    <w:rPr>
      <w:rFonts w:cs="Times New Roman"/>
    </w:rPr>
  </w:style>
  <w:style w:type="paragraph" w:styleId="Ballontekst">
    <w:name w:val="Balloon Text"/>
    <w:basedOn w:val="Standaard"/>
    <w:semiHidden/>
    <w:rsid w:val="00FA2C61"/>
    <w:rPr>
      <w:rFonts w:ascii="Tahoma" w:hAnsi="Tahoma" w:cs="Tahoma"/>
      <w:sz w:val="16"/>
      <w:szCs w:val="16"/>
    </w:rPr>
  </w:style>
  <w:style w:type="paragraph" w:styleId="Voettekst">
    <w:name w:val="footer"/>
    <w:basedOn w:val="Standaard"/>
    <w:rsid w:val="006A2C35"/>
    <w:pPr>
      <w:tabs>
        <w:tab w:val="center" w:pos="4320"/>
        <w:tab w:val="right" w:pos="8640"/>
      </w:tabs>
    </w:pPr>
  </w:style>
  <w:style w:type="character" w:styleId="Paginanummer">
    <w:name w:val="page number"/>
    <w:rsid w:val="006A2C35"/>
    <w:rPr>
      <w:rFonts w:cs="Times New Roman"/>
    </w:rPr>
  </w:style>
  <w:style w:type="paragraph" w:styleId="Koptekst">
    <w:name w:val="header"/>
    <w:basedOn w:val="Standaard"/>
    <w:rsid w:val="00936C02"/>
    <w:pPr>
      <w:tabs>
        <w:tab w:val="center" w:pos="4536"/>
        <w:tab w:val="right" w:pos="9072"/>
      </w:tabs>
    </w:pPr>
  </w:style>
  <w:style w:type="paragraph" w:customStyle="1" w:styleId="Revision">
    <w:name w:val="Revision"/>
    <w:hidden/>
    <w:semiHidden/>
    <w:rsid w:val="00D65E47"/>
    <w:rPr>
      <w:sz w:val="24"/>
      <w:szCs w:val="24"/>
    </w:rPr>
  </w:style>
  <w:style w:type="paragraph" w:customStyle="1" w:styleId="Default">
    <w:name w:val="Default"/>
    <w:rsid w:val="005C177F"/>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pixelsPerInch w:val="1"/>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aza.daxis.nl/scripts/cgi1frnt.exe?CmdTd=&amp;Dbname=*bV&amp;Ut=10036&amp;Frm=a&amp;Pmats=XWTTQAFDSXR&amp;Dbname=*bV&amp;Tref=01BA236B52CEBC1BD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2273</Words>
  <Characters>13765</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Voorst</vt:lpstr>
    </vt:vector>
  </TitlesOfParts>
  <Company>Van den Bosch &amp; partners</Company>
  <LinksUpToDate>false</LinksUpToDate>
  <CharactersWithSpaces>16006</CharactersWithSpaces>
  <SharedDoc>false</SharedDoc>
  <HLinks>
    <vt:vector size="6" baseType="variant">
      <vt:variant>
        <vt:i4>786518</vt:i4>
      </vt:variant>
      <vt:variant>
        <vt:i4>0</vt:i4>
      </vt:variant>
      <vt:variant>
        <vt:i4>0</vt:i4>
      </vt:variant>
      <vt:variant>
        <vt:i4>5</vt:i4>
      </vt:variant>
      <vt:variant>
        <vt:lpwstr>http://plaza.daxis.nl/scripts/cgi1frnt.exe?CmdTd=&amp;Dbname=*bV&amp;Ut=10036&amp;Frm=a&amp;Pmats=XWTTQAFDSXR&amp;Dbname=*bV&amp;Tref=01BA236B52CEBC1BD8</vt:lpwstr>
      </vt:variant>
      <vt:variant>
        <vt:lpwstr>start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dc:title>
  <dc:subject/>
  <dc:creator>Edwin Borghols</dc:creator>
  <cp:keywords/>
  <dc:description/>
  <cp:lastModifiedBy>Hans Rooth</cp:lastModifiedBy>
  <cp:revision>2</cp:revision>
  <cp:lastPrinted>2016-10-27T08:31:00Z</cp:lastPrinted>
  <dcterms:created xsi:type="dcterms:W3CDTF">2016-10-27T09:36:00Z</dcterms:created>
  <dcterms:modified xsi:type="dcterms:W3CDTF">2016-10-27T09:36:00Z</dcterms:modified>
</cp:coreProperties>
</file>